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7D383" w14:textId="77777777" w:rsidR="00E934CB" w:rsidRDefault="00E934CB" w:rsidP="00D76F02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  <w:b/>
          <w:bCs/>
          <w:noProof/>
          <w:sz w:val="32"/>
          <w:szCs w:val="28"/>
        </w:rPr>
      </w:pPr>
    </w:p>
    <w:p w14:paraId="3DD2BB64" w14:textId="7B83C9F6" w:rsidR="00D76F02" w:rsidRPr="000D09B3" w:rsidRDefault="00D76F02" w:rsidP="00D76F02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6D0826" wp14:editId="6022E7DD">
                <wp:simplePos x="0" y="0"/>
                <wp:positionH relativeFrom="margin">
                  <wp:posOffset>27305</wp:posOffset>
                </wp:positionH>
                <wp:positionV relativeFrom="paragraph">
                  <wp:posOffset>-22860</wp:posOffset>
                </wp:positionV>
                <wp:extent cx="5702300" cy="0"/>
                <wp:effectExtent l="0" t="0" r="0" b="0"/>
                <wp:wrapNone/>
                <wp:docPr id="387306314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DB5F8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-1.8pt" to="451.1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Garamond" w:eastAsia="Thoth-Unicode" w:hAnsi="Garamond" w:cs="Thoth-Unicode"/>
          <w:b/>
          <w:bCs/>
          <w:noProof/>
          <w:sz w:val="32"/>
          <w:szCs w:val="28"/>
        </w:rPr>
        <w:t>SMLOUVA O DÍLO</w:t>
      </w:r>
    </w:p>
    <w:p w14:paraId="586BC9BD" w14:textId="77777777" w:rsidR="00D76F02" w:rsidRDefault="00D76F02" w:rsidP="00D76F02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 xml:space="preserve">uzavřená </w:t>
      </w:r>
      <w:r w:rsidRPr="00E12619">
        <w:rPr>
          <w:rFonts w:ascii="Garamond" w:eastAsia="Thoth-Unicode" w:hAnsi="Garamond" w:cs="Thoth-Unicode"/>
        </w:rPr>
        <w:t xml:space="preserve">podle § </w:t>
      </w:r>
      <w:r>
        <w:rPr>
          <w:rFonts w:ascii="Garamond" w:eastAsia="Thoth-Unicode" w:hAnsi="Garamond" w:cs="Thoth-Unicode"/>
        </w:rPr>
        <w:t xml:space="preserve">2586 </w:t>
      </w:r>
      <w:r w:rsidRPr="00E12619">
        <w:rPr>
          <w:rFonts w:ascii="Garamond" w:eastAsia="Thoth-Unicode" w:hAnsi="Garamond" w:cs="Thoth-Unicode"/>
        </w:rPr>
        <w:t xml:space="preserve">a násl. občanského zákoníku, </w:t>
      </w:r>
      <w:r>
        <w:rPr>
          <w:rFonts w:ascii="Garamond" w:eastAsia="Thoth-Unicode" w:hAnsi="Garamond" w:cs="Thoth-Unicode"/>
        </w:rPr>
        <w:br/>
      </w:r>
      <w:r w:rsidRPr="00E12619">
        <w:rPr>
          <w:rFonts w:ascii="Garamond" w:eastAsia="Thoth-Unicode" w:hAnsi="Garamond" w:cs="Thoth-Unicode"/>
        </w:rPr>
        <w:t>mezi n</w:t>
      </w:r>
      <w:r>
        <w:rPr>
          <w:rFonts w:ascii="Garamond" w:eastAsia="Thoth-Unicode" w:hAnsi="Garamond" w:cs="Thoth-Unicode"/>
        </w:rPr>
        <w:t>í</w:t>
      </w:r>
      <w:r w:rsidRPr="00E12619">
        <w:rPr>
          <w:rFonts w:ascii="Garamond" w:eastAsia="Thoth-Unicode" w:hAnsi="Garamond" w:cs="Thoth-Unicode"/>
        </w:rPr>
        <w:t>že uvedenými smluvními</w:t>
      </w:r>
      <w:r>
        <w:rPr>
          <w:rFonts w:ascii="Garamond" w:eastAsia="Thoth-Unicode" w:hAnsi="Garamond" w:cs="Thoth-Unicode"/>
        </w:rPr>
        <w:t xml:space="preserve"> </w:t>
      </w:r>
      <w:r w:rsidRPr="00E12619">
        <w:rPr>
          <w:rFonts w:ascii="Garamond" w:eastAsia="Thoth-Unicode" w:hAnsi="Garamond" w:cs="Thoth-Unicode"/>
        </w:rPr>
        <w:t>stranami</w:t>
      </w:r>
    </w:p>
    <w:p w14:paraId="3A272C68" w14:textId="7E5E5602" w:rsidR="00D76F02" w:rsidRDefault="00D76F02" w:rsidP="00D76F02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DE93A3" wp14:editId="72FD66D1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5711825" cy="0"/>
                <wp:effectExtent l="9525" t="5715" r="12700" b="13335"/>
                <wp:wrapNone/>
                <wp:docPr id="1117725666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1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B8362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.6pt" to="449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" strokeweight=".5pt">
                <v:stroke joinstyle="miter"/>
              </v:line>
            </w:pict>
          </mc:Fallback>
        </mc:AlternateContent>
      </w:r>
    </w:p>
    <w:p w14:paraId="6D4DDA00" w14:textId="77777777" w:rsidR="005D5A2D" w:rsidRDefault="005D5A2D" w:rsidP="005D5A2D">
      <w:pPr>
        <w:ind w:left="3540" w:hanging="354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8931" w:type="dxa"/>
        <w:tblInd w:w="0" w:type="dxa"/>
        <w:tblLook w:val="04A0" w:firstRow="1" w:lastRow="0" w:firstColumn="1" w:lastColumn="0" w:noHBand="0" w:noVBand="1"/>
      </w:tblPr>
      <w:tblGrid>
        <w:gridCol w:w="4184"/>
        <w:gridCol w:w="4747"/>
      </w:tblGrid>
      <w:tr w:rsidR="009E63C2" w:rsidRPr="00B512AE" w14:paraId="795F0D19" w14:textId="77777777" w:rsidTr="009025E8">
        <w:trPr>
          <w:trHeight w:val="284"/>
        </w:trPr>
        <w:tc>
          <w:tcPr>
            <w:tcW w:w="4184" w:type="dxa"/>
            <w:vAlign w:val="bottom"/>
          </w:tcPr>
          <w:p w14:paraId="10AC716D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  <w:b/>
              </w:rPr>
              <w:t xml:space="preserve">Název:  </w:t>
            </w:r>
          </w:p>
        </w:tc>
        <w:tc>
          <w:tcPr>
            <w:tcW w:w="4747" w:type="dxa"/>
            <w:vAlign w:val="bottom"/>
          </w:tcPr>
          <w:p w14:paraId="42881373" w14:textId="77777777" w:rsidR="009E63C2" w:rsidRPr="00B512AE" w:rsidRDefault="009E63C2" w:rsidP="009025E8">
            <w:pPr>
              <w:ind w:right="-144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Nemocnice Znojmo, příspěvková organizace</w:t>
            </w:r>
          </w:p>
        </w:tc>
      </w:tr>
      <w:tr w:rsidR="009E63C2" w:rsidRPr="00B512AE" w14:paraId="5E384709" w14:textId="77777777" w:rsidTr="009025E8">
        <w:trPr>
          <w:trHeight w:val="284"/>
        </w:trPr>
        <w:tc>
          <w:tcPr>
            <w:tcW w:w="4184" w:type="dxa"/>
          </w:tcPr>
          <w:p w14:paraId="4E866E9E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Sídlo:</w:t>
            </w:r>
          </w:p>
        </w:tc>
        <w:tc>
          <w:tcPr>
            <w:tcW w:w="4747" w:type="dxa"/>
          </w:tcPr>
          <w:p w14:paraId="164E8B07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MUDr. Jana Janského 11, 669 02 Znojmo</w:t>
            </w:r>
          </w:p>
        </w:tc>
      </w:tr>
      <w:tr w:rsidR="009E63C2" w:rsidRPr="00B512AE" w14:paraId="2C86E465" w14:textId="77777777" w:rsidTr="009025E8">
        <w:trPr>
          <w:trHeight w:val="284"/>
        </w:trPr>
        <w:tc>
          <w:tcPr>
            <w:tcW w:w="4184" w:type="dxa"/>
          </w:tcPr>
          <w:p w14:paraId="300A06A7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Zastoupena:</w:t>
            </w:r>
          </w:p>
        </w:tc>
        <w:tc>
          <w:tcPr>
            <w:tcW w:w="4747" w:type="dxa"/>
          </w:tcPr>
          <w:p w14:paraId="0BADFB1B" w14:textId="7167E0BE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MUDr. Miroslavem Kavkou, MBA,</w:t>
            </w:r>
            <w:r w:rsidR="00E934CB">
              <w:rPr>
                <w:rFonts w:ascii="Garamond" w:hAnsi="Garamond"/>
              </w:rPr>
              <w:t xml:space="preserve"> FICS,</w:t>
            </w:r>
            <w:r w:rsidRPr="00B512AE">
              <w:rPr>
                <w:rFonts w:ascii="Garamond" w:hAnsi="Garamond"/>
              </w:rPr>
              <w:t xml:space="preserve"> ředitelem</w:t>
            </w:r>
          </w:p>
        </w:tc>
      </w:tr>
      <w:tr w:rsidR="009E63C2" w:rsidRPr="00B512AE" w14:paraId="5727AAEF" w14:textId="77777777" w:rsidTr="009025E8">
        <w:trPr>
          <w:trHeight w:val="284"/>
        </w:trPr>
        <w:tc>
          <w:tcPr>
            <w:tcW w:w="4184" w:type="dxa"/>
          </w:tcPr>
          <w:p w14:paraId="4DF4C943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IČ:</w:t>
            </w:r>
          </w:p>
          <w:p w14:paraId="42D9EF9F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DIČ:</w:t>
            </w:r>
          </w:p>
        </w:tc>
        <w:tc>
          <w:tcPr>
            <w:tcW w:w="4747" w:type="dxa"/>
          </w:tcPr>
          <w:p w14:paraId="3DCA9043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00092584</w:t>
            </w:r>
          </w:p>
          <w:p w14:paraId="1F0D2A97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 xml:space="preserve">CZ00092584 </w:t>
            </w:r>
          </w:p>
        </w:tc>
      </w:tr>
      <w:tr w:rsidR="009E63C2" w:rsidRPr="00B512AE" w14:paraId="666EBB05" w14:textId="77777777" w:rsidTr="009025E8">
        <w:trPr>
          <w:trHeight w:val="284"/>
        </w:trPr>
        <w:tc>
          <w:tcPr>
            <w:tcW w:w="4184" w:type="dxa"/>
          </w:tcPr>
          <w:p w14:paraId="27D588FD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Bankovní spojení:</w:t>
            </w:r>
          </w:p>
        </w:tc>
        <w:tc>
          <w:tcPr>
            <w:tcW w:w="4747" w:type="dxa"/>
          </w:tcPr>
          <w:p w14:paraId="45F5168B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Komerční banka a. s.</w:t>
            </w:r>
          </w:p>
        </w:tc>
      </w:tr>
      <w:tr w:rsidR="009E63C2" w:rsidRPr="00B512AE" w14:paraId="66493105" w14:textId="77777777" w:rsidTr="009025E8">
        <w:trPr>
          <w:trHeight w:val="284"/>
        </w:trPr>
        <w:tc>
          <w:tcPr>
            <w:tcW w:w="4184" w:type="dxa"/>
          </w:tcPr>
          <w:p w14:paraId="41099791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Číslo účtu:</w:t>
            </w:r>
          </w:p>
        </w:tc>
        <w:tc>
          <w:tcPr>
            <w:tcW w:w="4747" w:type="dxa"/>
          </w:tcPr>
          <w:p w14:paraId="28086CF8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14538-741/0100</w:t>
            </w:r>
          </w:p>
        </w:tc>
      </w:tr>
      <w:tr w:rsidR="009E63C2" w:rsidRPr="00B512AE" w14:paraId="3613A6E3" w14:textId="77777777" w:rsidTr="009025E8">
        <w:trPr>
          <w:trHeight w:val="284"/>
        </w:trPr>
        <w:tc>
          <w:tcPr>
            <w:tcW w:w="4184" w:type="dxa"/>
          </w:tcPr>
          <w:p w14:paraId="20EA7F3C" w14:textId="77777777" w:rsidR="009E63C2" w:rsidRPr="00B512AE" w:rsidRDefault="009E63C2" w:rsidP="009025E8">
            <w:pPr>
              <w:ind w:left="142" w:right="9"/>
              <w:jc w:val="both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Osoba oprávněná k jednáním</w:t>
            </w:r>
          </w:p>
          <w:p w14:paraId="5F1FE248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ve věcech technických:</w:t>
            </w:r>
          </w:p>
        </w:tc>
        <w:tc>
          <w:tcPr>
            <w:tcW w:w="4747" w:type="dxa"/>
            <w:vAlign w:val="bottom"/>
          </w:tcPr>
          <w:p w14:paraId="6538DAEA" w14:textId="63159C29" w:rsidR="009E63C2" w:rsidRDefault="009E63C2" w:rsidP="009025E8">
            <w:pPr>
              <w:rPr>
                <w:rFonts w:ascii="Garamond" w:hAnsi="Garamond"/>
              </w:rPr>
            </w:pPr>
            <w:r w:rsidRPr="009E63C2">
              <w:rPr>
                <w:rFonts w:ascii="Garamond" w:hAnsi="Garamond"/>
              </w:rPr>
              <w:t>Ing. Vladislav Veselý</w:t>
            </w:r>
          </w:p>
          <w:p w14:paraId="51333F63" w14:textId="2C28FB8C" w:rsidR="009E63C2" w:rsidRPr="00B512AE" w:rsidRDefault="009E63C2" w:rsidP="009025E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tel.:</w:t>
            </w:r>
            <w:r w:rsidRPr="009E63C2">
              <w:rPr>
                <w:rFonts w:eastAsia="Times New Roman" w:cstheme="minorHAnsi"/>
                <w:sz w:val="22"/>
                <w:szCs w:val="22"/>
              </w:rPr>
              <w:t xml:space="preserve"> </w:t>
            </w:r>
            <w:r w:rsidRPr="009E63C2">
              <w:rPr>
                <w:rFonts w:ascii="Garamond" w:hAnsi="Garamond"/>
              </w:rPr>
              <w:t xml:space="preserve">602 385 085; </w:t>
            </w:r>
            <w:r>
              <w:rPr>
                <w:rFonts w:ascii="Garamond" w:hAnsi="Garamond"/>
              </w:rPr>
              <w:br/>
            </w:r>
            <w:r w:rsidRPr="009E63C2">
              <w:rPr>
                <w:rFonts w:ascii="Garamond" w:hAnsi="Garamond"/>
              </w:rPr>
              <w:t xml:space="preserve">e-mail: </w:t>
            </w:r>
            <w:hyperlink r:id="rId8" w:history="1">
              <w:r w:rsidRPr="009E63C2">
                <w:rPr>
                  <w:rStyle w:val="Hypertextovodkaz"/>
                  <w:rFonts w:ascii="Garamond" w:hAnsi="Garamond"/>
                </w:rPr>
                <w:t>vladislav.vesely@nemzn.cz</w:t>
              </w:r>
            </w:hyperlink>
            <w:r>
              <w:rPr>
                <w:rFonts w:ascii="Garamond" w:hAnsi="Garamond"/>
              </w:rPr>
              <w:t xml:space="preserve">  </w:t>
            </w:r>
          </w:p>
        </w:tc>
      </w:tr>
      <w:tr w:rsidR="009E63C2" w:rsidRPr="00B512AE" w14:paraId="16CC33FB" w14:textId="77777777" w:rsidTr="009025E8">
        <w:trPr>
          <w:trHeight w:val="284"/>
        </w:trPr>
        <w:tc>
          <w:tcPr>
            <w:tcW w:w="4184" w:type="dxa"/>
          </w:tcPr>
          <w:p w14:paraId="064B62AD" w14:textId="77777777" w:rsidR="009E63C2" w:rsidRPr="00B512AE" w:rsidRDefault="009E63C2" w:rsidP="009025E8">
            <w:pPr>
              <w:ind w:left="142" w:right="9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 xml:space="preserve">Adresa pro doručování </w:t>
            </w:r>
          </w:p>
          <w:p w14:paraId="15153921" w14:textId="77777777" w:rsidR="009E63C2" w:rsidRPr="00B512AE" w:rsidRDefault="009E63C2" w:rsidP="009025E8">
            <w:pPr>
              <w:ind w:left="142" w:right="9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korespondence:</w:t>
            </w:r>
          </w:p>
        </w:tc>
        <w:tc>
          <w:tcPr>
            <w:tcW w:w="4747" w:type="dxa"/>
          </w:tcPr>
          <w:p w14:paraId="6A3D55E4" w14:textId="77777777" w:rsidR="009E63C2" w:rsidRPr="00B512AE" w:rsidRDefault="009E63C2" w:rsidP="009025E8">
            <w:pPr>
              <w:rPr>
                <w:rFonts w:ascii="Garamond" w:hAnsi="Garamond"/>
              </w:rPr>
            </w:pPr>
            <w:bookmarkStart w:id="0" w:name="_Hlk166669486"/>
            <w:r w:rsidRPr="00B512AE">
              <w:rPr>
                <w:rFonts w:ascii="Garamond" w:hAnsi="Garamond"/>
              </w:rPr>
              <w:t>MUDr. Jana Janského 11</w:t>
            </w:r>
            <w:bookmarkEnd w:id="0"/>
          </w:p>
          <w:p w14:paraId="4E1500CA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</w:rPr>
              <w:t>669 02 Znojmo</w:t>
            </w:r>
          </w:p>
        </w:tc>
      </w:tr>
      <w:tr w:rsidR="009E63C2" w:rsidRPr="00B512AE" w14:paraId="29DDB958" w14:textId="77777777" w:rsidTr="009025E8">
        <w:trPr>
          <w:trHeight w:val="284"/>
        </w:trPr>
        <w:tc>
          <w:tcPr>
            <w:tcW w:w="8931" w:type="dxa"/>
            <w:gridSpan w:val="2"/>
            <w:vAlign w:val="center"/>
          </w:tcPr>
          <w:p w14:paraId="32F2DB8F" w14:textId="454A40D8" w:rsidR="009E63C2" w:rsidRPr="00B512AE" w:rsidRDefault="009E63C2" w:rsidP="009025E8">
            <w:pPr>
              <w:spacing w:before="200" w:after="120" w:line="120" w:lineRule="auto"/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(dále jen „</w:t>
            </w:r>
            <w:r>
              <w:rPr>
                <w:rFonts w:ascii="Garamond" w:hAnsi="Garamond"/>
              </w:rPr>
              <w:t>objednatel</w:t>
            </w:r>
            <w:r w:rsidRPr="00B512AE">
              <w:rPr>
                <w:rFonts w:ascii="Garamond" w:hAnsi="Garamond"/>
              </w:rPr>
              <w:t>“)</w:t>
            </w:r>
          </w:p>
        </w:tc>
      </w:tr>
      <w:tr w:rsidR="009E63C2" w:rsidRPr="00B512AE" w14:paraId="67A71DDB" w14:textId="77777777" w:rsidTr="009025E8">
        <w:trPr>
          <w:trHeight w:val="284"/>
        </w:trPr>
        <w:tc>
          <w:tcPr>
            <w:tcW w:w="8931" w:type="dxa"/>
            <w:gridSpan w:val="2"/>
            <w:vAlign w:val="center"/>
          </w:tcPr>
          <w:p w14:paraId="3A1C27E1" w14:textId="77777777" w:rsidR="009E63C2" w:rsidRDefault="009E63C2" w:rsidP="009025E8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a</w:t>
            </w:r>
          </w:p>
          <w:p w14:paraId="6532C471" w14:textId="77777777" w:rsidR="009E63C2" w:rsidRPr="00B512AE" w:rsidRDefault="009E63C2" w:rsidP="009025E8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</w:p>
        </w:tc>
      </w:tr>
      <w:tr w:rsidR="009E63C2" w:rsidRPr="00B512AE" w14:paraId="1D182546" w14:textId="77777777" w:rsidTr="009025E8">
        <w:trPr>
          <w:trHeight w:val="284"/>
        </w:trPr>
        <w:tc>
          <w:tcPr>
            <w:tcW w:w="4184" w:type="dxa"/>
          </w:tcPr>
          <w:p w14:paraId="11314F9A" w14:textId="77777777" w:rsidR="009E63C2" w:rsidRPr="00B512AE" w:rsidRDefault="009E63C2" w:rsidP="009025E8">
            <w:pPr>
              <w:spacing w:after="16" w:line="249" w:lineRule="auto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b/>
                <w:highlight w:val="yellow"/>
              </w:rPr>
              <w:t>Název</w:t>
            </w:r>
          </w:p>
        </w:tc>
        <w:tc>
          <w:tcPr>
            <w:tcW w:w="4747" w:type="dxa"/>
          </w:tcPr>
          <w:p w14:paraId="2BC76FC8" w14:textId="77777777" w:rsidR="009E63C2" w:rsidRPr="00B512AE" w:rsidRDefault="009E63C2" w:rsidP="009025E8">
            <w:pPr>
              <w:rPr>
                <w:rFonts w:ascii="Garamond" w:hAnsi="Garamond"/>
                <w:b/>
                <w:highlight w:val="yellow"/>
              </w:rPr>
            </w:pPr>
            <w:bookmarkStart w:id="1" w:name="_Hlk162258537"/>
            <w:r w:rsidRPr="00B512AE">
              <w:rPr>
                <w:rFonts w:ascii="Garamond" w:hAnsi="Garamond"/>
                <w:b/>
                <w:highlight w:val="yellow"/>
              </w:rPr>
              <w:t>………………………………….</w:t>
            </w:r>
            <w:bookmarkEnd w:id="1"/>
          </w:p>
        </w:tc>
      </w:tr>
      <w:tr w:rsidR="009E63C2" w:rsidRPr="00B512AE" w14:paraId="16B93E7A" w14:textId="77777777" w:rsidTr="009025E8">
        <w:trPr>
          <w:trHeight w:val="284"/>
        </w:trPr>
        <w:tc>
          <w:tcPr>
            <w:tcW w:w="4184" w:type="dxa"/>
          </w:tcPr>
          <w:p w14:paraId="425AAB32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b/>
                <w:highlight w:val="yellow"/>
              </w:rPr>
            </w:pPr>
            <w:bookmarkStart w:id="2" w:name="_Hlk162258551"/>
            <w:r w:rsidRPr="00B512AE">
              <w:rPr>
                <w:rFonts w:ascii="Garamond" w:hAnsi="Garamond"/>
                <w:highlight w:val="yellow"/>
              </w:rPr>
              <w:t>Sídlo:</w:t>
            </w:r>
          </w:p>
        </w:tc>
        <w:tc>
          <w:tcPr>
            <w:tcW w:w="4747" w:type="dxa"/>
          </w:tcPr>
          <w:p w14:paraId="2B6682EB" w14:textId="77777777" w:rsidR="009E63C2" w:rsidRPr="00B512AE" w:rsidRDefault="009E63C2" w:rsidP="009025E8">
            <w:pPr>
              <w:rPr>
                <w:rFonts w:ascii="Garamond" w:hAnsi="Garamond"/>
                <w:b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……………………………………..</w:t>
            </w:r>
          </w:p>
        </w:tc>
      </w:tr>
      <w:bookmarkEnd w:id="2"/>
      <w:tr w:rsidR="009E63C2" w:rsidRPr="00B512AE" w14:paraId="5F62A12F" w14:textId="77777777" w:rsidTr="009025E8">
        <w:trPr>
          <w:trHeight w:val="284"/>
        </w:trPr>
        <w:tc>
          <w:tcPr>
            <w:tcW w:w="4184" w:type="dxa"/>
          </w:tcPr>
          <w:p w14:paraId="5B9E7E46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Zastoupena:</w:t>
            </w:r>
          </w:p>
        </w:tc>
        <w:tc>
          <w:tcPr>
            <w:tcW w:w="4747" w:type="dxa"/>
          </w:tcPr>
          <w:p w14:paraId="6A5F26DB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……………………………….</w:t>
            </w:r>
          </w:p>
        </w:tc>
      </w:tr>
      <w:tr w:rsidR="009E63C2" w:rsidRPr="00B512AE" w14:paraId="504DA643" w14:textId="77777777" w:rsidTr="009025E8">
        <w:trPr>
          <w:trHeight w:val="284"/>
        </w:trPr>
        <w:tc>
          <w:tcPr>
            <w:tcW w:w="4184" w:type="dxa"/>
          </w:tcPr>
          <w:p w14:paraId="65CE6B0D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IČ:</w:t>
            </w:r>
          </w:p>
        </w:tc>
        <w:tc>
          <w:tcPr>
            <w:tcW w:w="4747" w:type="dxa"/>
          </w:tcPr>
          <w:p w14:paraId="3AEDCFE7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bookmarkStart w:id="3" w:name="_Hlk162258572"/>
            <w:r w:rsidRPr="00B512AE">
              <w:rPr>
                <w:rFonts w:ascii="Garamond" w:hAnsi="Garamond"/>
                <w:highlight w:val="yellow"/>
              </w:rPr>
              <w:t>…………………………………</w:t>
            </w:r>
            <w:bookmarkEnd w:id="3"/>
          </w:p>
        </w:tc>
      </w:tr>
      <w:tr w:rsidR="009E63C2" w:rsidRPr="00B512AE" w14:paraId="251C553A" w14:textId="77777777" w:rsidTr="009025E8">
        <w:trPr>
          <w:trHeight w:val="284"/>
        </w:trPr>
        <w:tc>
          <w:tcPr>
            <w:tcW w:w="4184" w:type="dxa"/>
          </w:tcPr>
          <w:p w14:paraId="4DF02DE8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DIČ:</w:t>
            </w:r>
          </w:p>
        </w:tc>
        <w:tc>
          <w:tcPr>
            <w:tcW w:w="4747" w:type="dxa"/>
          </w:tcPr>
          <w:p w14:paraId="121E07C2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…………………………………..</w:t>
            </w:r>
          </w:p>
        </w:tc>
      </w:tr>
      <w:tr w:rsidR="009E63C2" w:rsidRPr="00B512AE" w14:paraId="14134BED" w14:textId="77777777" w:rsidTr="009025E8">
        <w:trPr>
          <w:trHeight w:val="284"/>
        </w:trPr>
        <w:tc>
          <w:tcPr>
            <w:tcW w:w="4184" w:type="dxa"/>
          </w:tcPr>
          <w:p w14:paraId="4AFE4AF1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Bankovní spojení:</w:t>
            </w:r>
          </w:p>
        </w:tc>
        <w:tc>
          <w:tcPr>
            <w:tcW w:w="4747" w:type="dxa"/>
          </w:tcPr>
          <w:p w14:paraId="188DD439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</w:t>
            </w:r>
          </w:p>
        </w:tc>
      </w:tr>
      <w:tr w:rsidR="009E63C2" w:rsidRPr="00B512AE" w14:paraId="66BB9E09" w14:textId="77777777" w:rsidTr="009025E8">
        <w:trPr>
          <w:trHeight w:val="284"/>
        </w:trPr>
        <w:tc>
          <w:tcPr>
            <w:tcW w:w="4184" w:type="dxa"/>
          </w:tcPr>
          <w:p w14:paraId="435485EF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Číslo účtu:</w:t>
            </w:r>
          </w:p>
          <w:p w14:paraId="1CA2FC91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Osoba oprávněná k jednáním</w:t>
            </w:r>
          </w:p>
        </w:tc>
        <w:tc>
          <w:tcPr>
            <w:tcW w:w="4747" w:type="dxa"/>
          </w:tcPr>
          <w:p w14:paraId="33BFF8E1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…………………………..</w:t>
            </w:r>
          </w:p>
        </w:tc>
      </w:tr>
      <w:tr w:rsidR="009E63C2" w:rsidRPr="00B512AE" w14:paraId="2D66EC44" w14:textId="77777777" w:rsidTr="009025E8">
        <w:trPr>
          <w:trHeight w:val="284"/>
        </w:trPr>
        <w:tc>
          <w:tcPr>
            <w:tcW w:w="4184" w:type="dxa"/>
          </w:tcPr>
          <w:p w14:paraId="46AAB85B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ve věcech technických:</w:t>
            </w:r>
          </w:p>
        </w:tc>
        <w:tc>
          <w:tcPr>
            <w:tcW w:w="4747" w:type="dxa"/>
          </w:tcPr>
          <w:p w14:paraId="1E6F42EB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</w:t>
            </w:r>
          </w:p>
        </w:tc>
      </w:tr>
      <w:tr w:rsidR="009E63C2" w:rsidRPr="00B512AE" w14:paraId="073BBC64" w14:textId="77777777" w:rsidTr="009025E8">
        <w:trPr>
          <w:trHeight w:val="284"/>
        </w:trPr>
        <w:tc>
          <w:tcPr>
            <w:tcW w:w="4184" w:type="dxa"/>
          </w:tcPr>
          <w:p w14:paraId="6082BDB3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Telefonické a e-mailové spojení:</w:t>
            </w:r>
          </w:p>
        </w:tc>
        <w:tc>
          <w:tcPr>
            <w:tcW w:w="4747" w:type="dxa"/>
          </w:tcPr>
          <w:p w14:paraId="12B4636E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……………………….</w:t>
            </w:r>
          </w:p>
          <w:p w14:paraId="2D573FEA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…………………………….</w:t>
            </w:r>
          </w:p>
        </w:tc>
      </w:tr>
      <w:tr w:rsidR="009E63C2" w:rsidRPr="00B512AE" w14:paraId="4FC48E73" w14:textId="77777777" w:rsidTr="009025E8">
        <w:trPr>
          <w:trHeight w:val="284"/>
        </w:trPr>
        <w:tc>
          <w:tcPr>
            <w:tcW w:w="4184" w:type="dxa"/>
          </w:tcPr>
          <w:p w14:paraId="19B70DA4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Adresa pro doručování</w:t>
            </w:r>
          </w:p>
          <w:p w14:paraId="1E9300BB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korespondence:</w:t>
            </w:r>
          </w:p>
        </w:tc>
        <w:tc>
          <w:tcPr>
            <w:tcW w:w="4747" w:type="dxa"/>
          </w:tcPr>
          <w:p w14:paraId="088FC999" w14:textId="77777777" w:rsidR="009E63C2" w:rsidRPr="00B512AE" w:rsidRDefault="009E63C2" w:rsidP="009025E8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………………………………………….</w:t>
            </w:r>
          </w:p>
          <w:p w14:paraId="0F35A6E3" w14:textId="77777777" w:rsidR="009E63C2" w:rsidRPr="00B512AE" w:rsidRDefault="009E63C2" w:rsidP="009025E8">
            <w:pPr>
              <w:jc w:val="both"/>
              <w:rPr>
                <w:rFonts w:ascii="Garamond" w:hAnsi="Garamond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………………………………………..</w:t>
            </w:r>
          </w:p>
          <w:p w14:paraId="184FFDB4" w14:textId="0BCEF424" w:rsidR="009E63C2" w:rsidRPr="00B512AE" w:rsidRDefault="009E63C2" w:rsidP="009025E8">
            <w:pPr>
              <w:jc w:val="both"/>
              <w:rPr>
                <w:rFonts w:ascii="Garamond" w:hAnsi="Garamond"/>
              </w:rPr>
            </w:pPr>
            <w:r w:rsidRPr="00B512AE">
              <w:rPr>
                <w:rFonts w:ascii="Garamond" w:hAnsi="Garamond"/>
                <w:highlight w:val="yellow"/>
              </w:rPr>
              <w:t>(</w:t>
            </w:r>
            <w:r w:rsidRPr="00B512AE">
              <w:rPr>
                <w:rFonts w:ascii="Garamond" w:hAnsi="Garamond"/>
                <w:i/>
                <w:highlight w:val="yellow"/>
              </w:rPr>
              <w:t xml:space="preserve">vyplní </w:t>
            </w:r>
            <w:r>
              <w:rPr>
                <w:rFonts w:ascii="Garamond" w:hAnsi="Garamond"/>
                <w:i/>
                <w:highlight w:val="yellow"/>
              </w:rPr>
              <w:t>zhotovitel</w:t>
            </w:r>
            <w:r w:rsidRPr="00B512AE">
              <w:rPr>
                <w:rFonts w:ascii="Garamond" w:hAnsi="Garamond"/>
                <w:i/>
                <w:highlight w:val="yellow"/>
              </w:rPr>
              <w:t>)</w:t>
            </w:r>
          </w:p>
        </w:tc>
      </w:tr>
      <w:tr w:rsidR="009E63C2" w:rsidRPr="00B512AE" w14:paraId="219094DD" w14:textId="77777777" w:rsidTr="009025E8">
        <w:trPr>
          <w:trHeight w:val="284"/>
        </w:trPr>
        <w:tc>
          <w:tcPr>
            <w:tcW w:w="4184" w:type="dxa"/>
            <w:vAlign w:val="center"/>
          </w:tcPr>
          <w:p w14:paraId="4299A420" w14:textId="1362B8EE" w:rsidR="009E63C2" w:rsidRPr="009E63C2" w:rsidRDefault="009E63C2" w:rsidP="009025E8">
            <w:pPr>
              <w:spacing w:before="200" w:after="200"/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</w:pPr>
            <w:r w:rsidRPr="009E63C2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>(dále jen „zhotovitel“)</w:t>
            </w:r>
          </w:p>
        </w:tc>
        <w:tc>
          <w:tcPr>
            <w:tcW w:w="4747" w:type="dxa"/>
            <w:vAlign w:val="center"/>
          </w:tcPr>
          <w:p w14:paraId="1B3A2B01" w14:textId="77777777" w:rsidR="009E63C2" w:rsidRPr="00B512AE" w:rsidRDefault="009E63C2" w:rsidP="009025E8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</w:rPr>
            </w:pPr>
          </w:p>
        </w:tc>
      </w:tr>
    </w:tbl>
    <w:p w14:paraId="119C8E58" w14:textId="002F4E6A" w:rsidR="009E63C2" w:rsidRDefault="009E63C2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</w:rPr>
      </w:pPr>
      <w:r w:rsidRPr="009E63C2">
        <w:rPr>
          <w:rFonts w:ascii="Garamond" w:hAnsi="Garamond" w:cs="Arial"/>
        </w:rPr>
        <w:t>tímto uzavírají tuto smlouvu jako výsledek zadávacího řízení na realizaci veřejné zakázky malého rozsahu na služby nazvané „</w:t>
      </w:r>
      <w:r w:rsidRPr="009E63C2">
        <w:rPr>
          <w:rFonts w:ascii="Garamond" w:hAnsi="Garamond" w:cs="Arial"/>
          <w:b/>
          <w:bCs/>
          <w:i/>
        </w:rPr>
        <w:t>Kontrola provozuschopnosti a servis požárních ucpávek na objektech Nemocnice Znojmo</w:t>
      </w:r>
      <w:r w:rsidRPr="009E63C2">
        <w:rPr>
          <w:rFonts w:ascii="Garamond" w:hAnsi="Garamond" w:cs="Arial"/>
        </w:rPr>
        <w:t>“ (dále jen „veřejná zakázka“), v souladu se zákonem č. 134/2016 Sb., o zadávání veřejných zakázek, ve znění pozdějších předpisů.</w:t>
      </w:r>
    </w:p>
    <w:p w14:paraId="4A571469" w14:textId="77777777" w:rsidR="009E63C2" w:rsidRDefault="009E63C2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</w:rPr>
      </w:pPr>
    </w:p>
    <w:p w14:paraId="11F7121E" w14:textId="77777777" w:rsidR="00E934CB" w:rsidRDefault="00E934CB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</w:rPr>
      </w:pPr>
    </w:p>
    <w:p w14:paraId="03F5F590" w14:textId="13E34A0D" w:rsidR="005D5A2D" w:rsidRPr="009E63C2" w:rsidRDefault="00C41A7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eastAsiaTheme="minorHAnsi" w:hAnsi="Garamond" w:cs="Arial"/>
          <w:b/>
          <w:bCs/>
          <w:kern w:val="2"/>
          <w:lang w:eastAsia="en-US"/>
          <w14:ligatures w14:val="standardContextual"/>
        </w:rPr>
      </w:pPr>
      <w:r w:rsidRPr="009E63C2">
        <w:rPr>
          <w:rFonts w:ascii="Garamond" w:hAnsi="Garamond" w:cs="Arial"/>
          <w:b/>
          <w:bCs/>
        </w:rPr>
        <w:lastRenderedPageBreak/>
        <w:t>1</w:t>
      </w:r>
      <w:r w:rsidRPr="009E63C2">
        <w:rPr>
          <w:rFonts w:ascii="Garamond" w:eastAsiaTheme="minorHAnsi" w:hAnsi="Garamond" w:cs="Arial"/>
          <w:b/>
          <w:bCs/>
          <w:kern w:val="2"/>
          <w:lang w:eastAsia="en-US"/>
          <w14:ligatures w14:val="standardContextual"/>
        </w:rPr>
        <w:t>.</w:t>
      </w:r>
    </w:p>
    <w:p w14:paraId="1F248420" w14:textId="15594B85" w:rsidR="004F66FB" w:rsidRPr="009E63C2" w:rsidRDefault="005D5A2D" w:rsidP="009E63C2">
      <w:pPr>
        <w:spacing w:after="120"/>
        <w:jc w:val="both"/>
        <w:rPr>
          <w:rFonts w:ascii="Garamond" w:hAnsi="Garamond" w:cs="Arial"/>
          <w:highlight w:val="yellow"/>
        </w:rPr>
      </w:pPr>
      <w:r w:rsidRPr="009E63C2">
        <w:rPr>
          <w:rFonts w:ascii="Garamond" w:hAnsi="Garamond" w:cs="Arial"/>
        </w:rPr>
        <w:t xml:space="preserve">Zhotovitel se zavazuje, </w:t>
      </w:r>
      <w:r w:rsidR="004F66FB" w:rsidRPr="009E63C2">
        <w:rPr>
          <w:rFonts w:ascii="Garamond" w:hAnsi="Garamond" w:cs="Arial"/>
        </w:rPr>
        <w:t>že pro objednatele provede dílo</w:t>
      </w:r>
      <w:r w:rsidRPr="009E63C2">
        <w:rPr>
          <w:rFonts w:ascii="Garamond" w:hAnsi="Garamond" w:cs="Arial"/>
        </w:rPr>
        <w:t xml:space="preserve"> spočívající v</w:t>
      </w:r>
      <w:r w:rsidR="004F66FB" w:rsidRPr="009E63C2">
        <w:rPr>
          <w:rFonts w:ascii="Garamond" w:hAnsi="Garamond" w:cs="Arial"/>
        </w:rPr>
        <w:t xml:space="preserve"> provádění </w:t>
      </w:r>
      <w:r w:rsidR="00B87587" w:rsidRPr="009E63C2">
        <w:rPr>
          <w:rFonts w:ascii="Garamond" w:hAnsi="Garamond" w:cs="Arial"/>
        </w:rPr>
        <w:t>r</w:t>
      </w:r>
      <w:r w:rsidR="004F66FB" w:rsidRPr="009E63C2">
        <w:rPr>
          <w:rFonts w:ascii="Garamond" w:hAnsi="Garamond" w:cs="Arial"/>
        </w:rPr>
        <w:t>oční reviz</w:t>
      </w:r>
      <w:r w:rsidR="00B87587" w:rsidRPr="009E63C2">
        <w:rPr>
          <w:rFonts w:ascii="Garamond" w:hAnsi="Garamond" w:cs="Arial"/>
        </w:rPr>
        <w:t xml:space="preserve">e </w:t>
      </w:r>
      <w:r w:rsidR="004F66FB" w:rsidRPr="009E63C2">
        <w:rPr>
          <w:rFonts w:ascii="Garamond" w:hAnsi="Garamond" w:cs="Arial"/>
        </w:rPr>
        <w:t>požárních ucpávek</w:t>
      </w:r>
      <w:r w:rsidR="00B87587" w:rsidRPr="009E63C2">
        <w:rPr>
          <w:rFonts w:ascii="Garamond" w:hAnsi="Garamond" w:cs="Arial"/>
        </w:rPr>
        <w:t xml:space="preserve"> </w:t>
      </w:r>
      <w:r w:rsidR="004F66FB" w:rsidRPr="00D76F02">
        <w:rPr>
          <w:rFonts w:ascii="Garamond" w:hAnsi="Garamond" w:cs="Arial"/>
        </w:rPr>
        <w:t>včetně jejich funkčního zařízení</w:t>
      </w:r>
      <w:r w:rsidR="00B87587" w:rsidRPr="00D76F02">
        <w:rPr>
          <w:rFonts w:ascii="Garamond" w:hAnsi="Garamond" w:cs="Arial"/>
        </w:rPr>
        <w:t xml:space="preserve"> v objektech objednatele dle přílohy č. 1 této smlouvy a jejich případných oprav, a to způsobem a v rozsahu dle</w:t>
      </w:r>
      <w:r w:rsidR="00B87587" w:rsidRPr="009E63C2">
        <w:rPr>
          <w:rFonts w:ascii="Garamond" w:hAnsi="Garamond" w:cs="Arial"/>
        </w:rPr>
        <w:t xml:space="preserve"> příslušných právních předpisů, technických norem a dle průběžných pokynů objednatele. Při provádění díla se pak zhotovitel zavazuje postupovat tak, aby nebyl narušen provoz zdravotnického zařízení objednatele</w:t>
      </w:r>
      <w:r w:rsidR="009E63C2" w:rsidRPr="009E63C2">
        <w:rPr>
          <w:rFonts w:ascii="Garamond" w:hAnsi="Garamond" w:cs="Arial"/>
        </w:rPr>
        <w:t>.</w:t>
      </w:r>
    </w:p>
    <w:p w14:paraId="01E05E0F" w14:textId="77777777" w:rsidR="00C41A7C" w:rsidRPr="009E63C2" w:rsidRDefault="00C41A7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2.</w:t>
      </w:r>
    </w:p>
    <w:p w14:paraId="1785207F" w14:textId="65A45D3D" w:rsidR="00C41A7C" w:rsidRPr="009E63C2" w:rsidRDefault="00C41A7C" w:rsidP="009E63C2">
      <w:pPr>
        <w:spacing w:after="120" w:line="259" w:lineRule="auto"/>
        <w:jc w:val="both"/>
        <w:rPr>
          <w:rFonts w:ascii="Garamond" w:eastAsiaTheme="minorHAnsi" w:hAnsi="Garamond" w:cs="Arial"/>
          <w:kern w:val="2"/>
          <w:lang w:eastAsia="en-US"/>
          <w14:ligatures w14:val="standardContextual"/>
        </w:rPr>
      </w:pPr>
      <w:r w:rsidRPr="009E63C2">
        <w:rPr>
          <w:rFonts w:ascii="Garamond" w:eastAsiaTheme="minorHAnsi" w:hAnsi="Garamond" w:cs="Arial"/>
          <w:kern w:val="2"/>
          <w:lang w:eastAsia="en-US"/>
          <w14:ligatures w14:val="standardContextual"/>
        </w:rPr>
        <w:t xml:space="preserve">Závazek zhotovitele k provedení díla podle čl. 1 této smlouvy se považuje za splněný vždy po provedení všech činností definovaných objednatelem a vyhláškou č. 246/2001 Sb., a platnými technickými normami v příslušném objektu dnem předání díla formou písemného protokolu o těchto činnostech, podepsaného oběma stranami, nejméně ve třech vyhotoveních, z nichž dvě budou náležet objednateli. Protokol bude obsahovat všechny požadované náležitosti včetně termínu následné </w:t>
      </w:r>
      <w:r w:rsidR="00BA3D0C" w:rsidRPr="009E63C2">
        <w:rPr>
          <w:rFonts w:ascii="Garamond" w:eastAsiaTheme="minorHAnsi" w:hAnsi="Garamond" w:cs="Arial"/>
          <w:kern w:val="2"/>
          <w:lang w:eastAsia="en-US"/>
          <w14:ligatures w14:val="standardContextual"/>
        </w:rPr>
        <w:t>revize.</w:t>
      </w:r>
      <w:r w:rsidRPr="009E63C2">
        <w:rPr>
          <w:rFonts w:ascii="Garamond" w:eastAsiaTheme="minorHAnsi" w:hAnsi="Garamond" w:cs="Arial"/>
          <w:kern w:val="2"/>
          <w:lang w:eastAsia="en-US"/>
          <w14:ligatures w14:val="standardContextual"/>
        </w:rPr>
        <w:t xml:space="preserve"> Zhotovitel je povinen tento protokol zaslat objednateli na jím určenou e-mailovou adresu také v elektronické podobě. </w:t>
      </w:r>
    </w:p>
    <w:p w14:paraId="3F24FD01" w14:textId="77777777" w:rsidR="005D5A2D" w:rsidRPr="009E63C2" w:rsidRDefault="00C41A7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3.</w:t>
      </w:r>
    </w:p>
    <w:p w14:paraId="090AF7E4" w14:textId="42CF416F" w:rsidR="00C41A7C" w:rsidRPr="009E63C2" w:rsidRDefault="00C41A7C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Závazek zhotovitele k provedení díla podle čl. 1 </w:t>
      </w:r>
      <w:r w:rsidR="009E63C2" w:rsidRPr="009E63C2">
        <w:rPr>
          <w:rFonts w:ascii="Garamond" w:hAnsi="Garamond" w:cs="Arial"/>
        </w:rPr>
        <w:t>t</w:t>
      </w:r>
      <w:r w:rsidRPr="009E63C2">
        <w:rPr>
          <w:rFonts w:ascii="Garamond" w:hAnsi="Garamond" w:cs="Arial"/>
        </w:rPr>
        <w:t xml:space="preserve">éto smlouvy bude proveden vždy nejpozději do jednoho roku od předchozí </w:t>
      </w:r>
      <w:r w:rsidR="0095300D" w:rsidRPr="009E63C2">
        <w:rPr>
          <w:rFonts w:ascii="Garamond" w:hAnsi="Garamond" w:cs="Arial"/>
        </w:rPr>
        <w:t xml:space="preserve">kontroly, </w:t>
      </w:r>
      <w:r w:rsidR="00B44792">
        <w:rPr>
          <w:rFonts w:ascii="Garamond" w:hAnsi="Garamond" w:cs="Arial"/>
        </w:rPr>
        <w:t>v</w:t>
      </w:r>
      <w:r w:rsidRPr="009E63C2">
        <w:rPr>
          <w:rFonts w:ascii="Garamond" w:hAnsi="Garamond" w:cs="Arial"/>
        </w:rPr>
        <w:t>ždy je však nutné postupovat tak, aby byly dodrženy termíny dle platných norem.</w:t>
      </w:r>
    </w:p>
    <w:p w14:paraId="35DDD15C" w14:textId="77777777" w:rsidR="007F5F8C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4.</w:t>
      </w:r>
    </w:p>
    <w:p w14:paraId="19B5827A" w14:textId="0B75AA46" w:rsidR="007F5F8C" w:rsidRPr="009E63C2" w:rsidRDefault="007F5F8C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Závazek zhotovitele k provedení </w:t>
      </w:r>
      <w:r w:rsidR="009E63C2" w:rsidRPr="009E63C2">
        <w:rPr>
          <w:rFonts w:ascii="Garamond" w:hAnsi="Garamond" w:cs="Arial"/>
        </w:rPr>
        <w:t>opravy</w:t>
      </w:r>
      <w:r w:rsidRPr="009E63C2">
        <w:rPr>
          <w:rFonts w:ascii="Garamond" w:hAnsi="Garamond" w:cs="Arial"/>
        </w:rPr>
        <w:t xml:space="preserve"> </w:t>
      </w:r>
      <w:r w:rsidR="009E63C2" w:rsidRPr="009E63C2">
        <w:rPr>
          <w:rFonts w:ascii="Garamond" w:hAnsi="Garamond" w:cs="Arial"/>
        </w:rPr>
        <w:t xml:space="preserve">podle </w:t>
      </w:r>
      <w:r w:rsidRPr="009E63C2">
        <w:rPr>
          <w:rFonts w:ascii="Garamond" w:hAnsi="Garamond" w:cs="Arial"/>
        </w:rPr>
        <w:t xml:space="preserve">čl. 1 této smlouvy bude proveden nejpozději do 10 pracovních dnů od doručení příslušné objednávky, a to na email zhotovitele </w:t>
      </w:r>
      <w:r w:rsidR="009E63C2" w:rsidRPr="009E63C2">
        <w:rPr>
          <w:rFonts w:ascii="Garamond" w:hAnsi="Garamond" w:cs="Arial"/>
        </w:rPr>
        <w:t>uvedený v záhlaví této smlouvy</w:t>
      </w:r>
      <w:r w:rsidRPr="009E63C2">
        <w:rPr>
          <w:rFonts w:ascii="Garamond" w:hAnsi="Garamond" w:cs="Arial"/>
        </w:rPr>
        <w:t xml:space="preserve">. Odstraňování závad zahrnuje veškeré činnosti potřebné k dosažení předepsaných parametrů po zjištění závad a nedostatků. </w:t>
      </w:r>
    </w:p>
    <w:p w14:paraId="5BCCBF99" w14:textId="77777777" w:rsidR="00AC57B5" w:rsidRPr="009E63C2" w:rsidRDefault="00AC57B5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5.</w:t>
      </w:r>
    </w:p>
    <w:p w14:paraId="58DF3E80" w14:textId="0BC7798D" w:rsidR="00AC57B5" w:rsidRPr="009E63C2" w:rsidRDefault="00AC57B5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Jsou</w:t>
      </w:r>
      <w:r w:rsidR="0019520C" w:rsidRPr="009E63C2">
        <w:rPr>
          <w:rFonts w:ascii="Garamond" w:hAnsi="Garamond" w:cs="Arial"/>
        </w:rPr>
        <w:t>-</w:t>
      </w:r>
      <w:r w:rsidRPr="009E63C2">
        <w:rPr>
          <w:rFonts w:ascii="Garamond" w:hAnsi="Garamond" w:cs="Arial"/>
        </w:rPr>
        <w:t>li v průběhu provádění revizí zjištěny závady a nedostatky, předá zhotovitel cenovou nabídku na odstranění závady do 3 pracovních dnů o</w:t>
      </w:r>
      <w:r w:rsidR="000A002F" w:rsidRPr="009E63C2">
        <w:rPr>
          <w:rFonts w:ascii="Garamond" w:hAnsi="Garamond" w:cs="Arial"/>
        </w:rPr>
        <w:t>d předání písemného protokolu.</w:t>
      </w:r>
    </w:p>
    <w:p w14:paraId="6695660D" w14:textId="77777777" w:rsidR="0095300D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6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0C78DBC4" w14:textId="0A1ABDE1" w:rsidR="0095300D" w:rsidRPr="009E63C2" w:rsidRDefault="0095300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Dílo bude prováděno v souladu s příslušnými právními předpisy a technickými normami, zejména pak s </w:t>
      </w:r>
      <w:hyperlink r:id="rId9" w:history="1">
        <w:r w:rsidRPr="009E63C2">
          <w:rPr>
            <w:rFonts w:ascii="Garamond" w:hAnsi="Garamond" w:cs="Arial"/>
          </w:rPr>
          <w:t>Vyhláškou č. 246/2001 Sb.</w:t>
        </w:r>
      </w:hyperlink>
      <w:r w:rsidRPr="009E63C2">
        <w:rPr>
          <w:rFonts w:ascii="Garamond" w:hAnsi="Garamond" w:cs="Arial"/>
        </w:rPr>
        <w:t>, o stanovení podmínek požární bezpečnosti a výkonu státního požárního dozoru, a to tak, aby platnost příslušných písemných protokolů o revizích podle čl. 2 této smlouvy na sebe bez přerušení plynule navazovala po celou dobu trvání této smlouvy. Nástup na provádění revizí bude vždy konzultován s odpovědnou osobou objednatele</w:t>
      </w:r>
      <w:r w:rsidR="009E63C2" w:rsidRPr="009E63C2">
        <w:rPr>
          <w:rFonts w:ascii="Garamond" w:hAnsi="Garamond" w:cs="Arial"/>
        </w:rPr>
        <w:t xml:space="preserve"> uvedenou v záhlaví této smlouvy</w:t>
      </w:r>
      <w:r w:rsidRPr="009E63C2">
        <w:rPr>
          <w:rFonts w:ascii="Garamond" w:hAnsi="Garamond" w:cs="Arial"/>
        </w:rPr>
        <w:t xml:space="preserve">. </w:t>
      </w:r>
    </w:p>
    <w:p w14:paraId="1FEB1630" w14:textId="77777777" w:rsidR="000B053F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7.</w:t>
      </w:r>
    </w:p>
    <w:p w14:paraId="59DF09C8" w14:textId="4E80698C" w:rsidR="009E63C2" w:rsidRPr="009E63C2" w:rsidRDefault="009E63C2" w:rsidP="0095300D">
      <w:pPr>
        <w:jc w:val="both"/>
        <w:rPr>
          <w:rFonts w:ascii="Garamond" w:hAnsi="Garamond" w:cs="Arial"/>
          <w:color w:val="000000"/>
        </w:rPr>
      </w:pPr>
      <w:r w:rsidRPr="009E63C2">
        <w:rPr>
          <w:rFonts w:ascii="Garamond" w:hAnsi="Garamond" w:cs="Arial"/>
        </w:rPr>
        <w:t xml:space="preserve">(1) </w:t>
      </w:r>
      <w:r w:rsidR="0095300D" w:rsidRPr="009E63C2">
        <w:rPr>
          <w:rFonts w:ascii="Garamond" w:hAnsi="Garamond" w:cs="Arial"/>
        </w:rPr>
        <w:t xml:space="preserve">Objednatel se </w:t>
      </w:r>
      <w:r w:rsidR="0095300D" w:rsidRPr="009E63C2">
        <w:rPr>
          <w:rFonts w:ascii="Garamond" w:hAnsi="Garamond" w:cs="Arial"/>
          <w:color w:val="000000"/>
        </w:rPr>
        <w:t xml:space="preserve">zavazuje zaplatit zhotoviteli za dílo podle čl. </w:t>
      </w:r>
      <w:smartTag w:uri="urn:schemas-microsoft-com:office:smarttags" w:element="metricconverter">
        <w:smartTagPr>
          <w:attr w:name="ProductID" w:val="1 a"/>
        </w:smartTagPr>
        <w:r w:rsidR="0095300D" w:rsidRPr="009E63C2">
          <w:rPr>
            <w:rFonts w:ascii="Garamond" w:hAnsi="Garamond" w:cs="Arial"/>
            <w:color w:val="000000"/>
          </w:rPr>
          <w:t>1 a</w:t>
        </w:r>
      </w:smartTag>
      <w:r w:rsidR="0095300D" w:rsidRPr="009E63C2">
        <w:rPr>
          <w:rFonts w:ascii="Garamond" w:hAnsi="Garamond" w:cs="Arial"/>
          <w:color w:val="000000"/>
        </w:rPr>
        <w:t xml:space="preserve"> podle přílohy č. </w:t>
      </w:r>
      <w:r w:rsidRPr="009E63C2">
        <w:rPr>
          <w:rFonts w:ascii="Garamond" w:hAnsi="Garamond" w:cs="Arial"/>
          <w:color w:val="000000"/>
        </w:rPr>
        <w:t>1</w:t>
      </w:r>
      <w:r w:rsidR="0095300D" w:rsidRPr="009E63C2">
        <w:rPr>
          <w:rFonts w:ascii="Garamond" w:hAnsi="Garamond" w:cs="Arial"/>
          <w:color w:val="000000"/>
        </w:rPr>
        <w:t xml:space="preserve"> této smlouvy </w:t>
      </w:r>
      <w:r w:rsidR="0095300D" w:rsidRPr="009E63C2">
        <w:rPr>
          <w:rFonts w:ascii="Garamond" w:hAnsi="Garamond" w:cs="Arial"/>
        </w:rPr>
        <w:t>cenu ve výši dle rozpočtu, který je přílohu č. 1 této smlouvy. Ceny dle přílohy č. 1 této smlouvy obsahují všechny ostatní</w:t>
      </w:r>
      <w:r w:rsidR="0095300D" w:rsidRPr="009E63C2">
        <w:rPr>
          <w:rFonts w:ascii="Garamond" w:hAnsi="Garamond" w:cs="Arial"/>
          <w:color w:val="000000"/>
        </w:rPr>
        <w:t xml:space="preserve"> poplatky včetně nákladů na dopravu a nákladů na likvidaci odpadů</w:t>
      </w:r>
      <w:r w:rsidRPr="009E63C2">
        <w:rPr>
          <w:rFonts w:ascii="Garamond" w:hAnsi="Garamond" w:cs="Arial"/>
          <w:color w:val="000000"/>
        </w:rPr>
        <w:t xml:space="preserve"> a daň z přidané hodnoty v sazbě platné podle zákona v den dodání zboží. Změna ceny je možná, nedohodnou-li se smluvní strany jinak, pouze v případě zákonné změny sazby DPH.</w:t>
      </w:r>
    </w:p>
    <w:p w14:paraId="6DB993B4" w14:textId="2F5DFD72" w:rsidR="009E63C2" w:rsidRPr="009E63C2" w:rsidRDefault="009E63C2" w:rsidP="009E63C2">
      <w:pPr>
        <w:spacing w:after="120"/>
        <w:jc w:val="both"/>
        <w:rPr>
          <w:rFonts w:ascii="Garamond" w:hAnsi="Garamond" w:cs="Arial"/>
          <w:color w:val="000000"/>
        </w:rPr>
      </w:pPr>
      <w:r w:rsidRPr="009E63C2">
        <w:rPr>
          <w:rFonts w:ascii="Garamond" w:hAnsi="Garamond" w:cs="Arial"/>
          <w:color w:val="000000"/>
        </w:rPr>
        <w:t xml:space="preserve">(2) Zhotovitel je oprávněn zvýšit cenu dle odst. 1 o částku odpovídající průměrné míře inflace (vyjádřené přírůstkem průměrného ročního indexu spotřebitelských cen v ČR za uplynulý </w:t>
      </w:r>
      <w:r w:rsidRPr="009E63C2">
        <w:rPr>
          <w:rFonts w:ascii="Garamond" w:hAnsi="Garamond" w:cs="Arial"/>
          <w:color w:val="000000"/>
        </w:rPr>
        <w:lastRenderedPageBreak/>
        <w:t>kalendářní rok) a vyhlašované Českým statistickým úřadem, a to v případě, že celkový úhrn této inflace přesáhne 15</w:t>
      </w:r>
      <w:r>
        <w:rPr>
          <w:rFonts w:ascii="Garamond" w:hAnsi="Garamond" w:cs="Arial"/>
          <w:color w:val="000000"/>
        </w:rPr>
        <w:t xml:space="preserve"> </w:t>
      </w:r>
      <w:r w:rsidRPr="009E63C2">
        <w:rPr>
          <w:rFonts w:ascii="Garamond" w:hAnsi="Garamond" w:cs="Arial"/>
          <w:color w:val="000000"/>
        </w:rPr>
        <w:t>%.</w:t>
      </w:r>
    </w:p>
    <w:p w14:paraId="03645907" w14:textId="2D4B450D" w:rsidR="009E63C2" w:rsidRPr="009E63C2" w:rsidRDefault="009E63C2" w:rsidP="009E63C2">
      <w:pPr>
        <w:spacing w:after="120"/>
        <w:jc w:val="both"/>
        <w:rPr>
          <w:rFonts w:ascii="Garamond" w:hAnsi="Garamond" w:cs="Arial"/>
          <w:color w:val="000000"/>
        </w:rPr>
      </w:pPr>
      <w:r w:rsidRPr="009E63C2">
        <w:rPr>
          <w:rFonts w:ascii="Garamond" w:hAnsi="Garamond" w:cs="Arial"/>
          <w:color w:val="000000"/>
        </w:rPr>
        <w:t>(3) Cenu díla zvýšenou podle odstavce 1 oznámí zhotovitel písemně objednateli, přičemž právo účtovat takto zvýšenou cenu objednavateli vzniká zhotoviteli od prvního dne čtvrtletí následujícího po doručení tohoto oznámení objednateli.</w:t>
      </w:r>
    </w:p>
    <w:p w14:paraId="135162EF" w14:textId="77777777" w:rsidR="0095300D" w:rsidRPr="009E63C2" w:rsidRDefault="000B053F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8.</w:t>
      </w:r>
    </w:p>
    <w:p w14:paraId="344D19BB" w14:textId="300F0AF6" w:rsidR="005D5A2D" w:rsidRPr="009E63C2" w:rsidRDefault="009E63C2" w:rsidP="009E63C2">
      <w:pPr>
        <w:spacing w:after="120"/>
        <w:jc w:val="both"/>
        <w:rPr>
          <w:rFonts w:ascii="Garamond" w:hAnsi="Garamond" w:cs="Arial"/>
        </w:rPr>
      </w:pPr>
      <w:bookmarkStart w:id="4" w:name="_Hlk175139870"/>
      <w:r w:rsidRPr="009E63C2">
        <w:rPr>
          <w:rFonts w:ascii="Garamond" w:hAnsi="Garamond" w:cs="Arial"/>
        </w:rPr>
        <w:t xml:space="preserve">(1) </w:t>
      </w:r>
      <w:r w:rsidR="005D5A2D" w:rsidRPr="009E63C2">
        <w:rPr>
          <w:rFonts w:ascii="Garamond" w:hAnsi="Garamond" w:cs="Arial"/>
        </w:rPr>
        <w:t xml:space="preserve">Cena díla podle přílohy č. 1 této smlouvy je splatná po splnění závazku k provedení díla způsobem podle čl. 2 této smlouvy ve lhůtě do </w:t>
      </w:r>
      <w:r w:rsidRPr="009E63C2">
        <w:rPr>
          <w:rFonts w:ascii="Garamond" w:hAnsi="Garamond" w:cs="Arial"/>
        </w:rPr>
        <w:t>60</w:t>
      </w:r>
      <w:r w:rsidR="005D5A2D" w:rsidRPr="009E63C2">
        <w:rPr>
          <w:rFonts w:ascii="Garamond" w:hAnsi="Garamond" w:cs="Arial"/>
        </w:rPr>
        <w:t xml:space="preserve"> dnů od předložení jeho písemného </w:t>
      </w:r>
      <w:r w:rsidR="008639F4">
        <w:rPr>
          <w:rFonts w:ascii="Garamond" w:hAnsi="Garamond" w:cs="Arial"/>
        </w:rPr>
        <w:t>vyúčtování</w:t>
      </w:r>
      <w:r w:rsidR="005D5A2D" w:rsidRPr="009E63C2">
        <w:rPr>
          <w:rFonts w:ascii="Garamond" w:hAnsi="Garamond" w:cs="Arial"/>
        </w:rPr>
        <w:t xml:space="preserve"> (faktury)</w:t>
      </w:r>
      <w:r w:rsidR="008639F4">
        <w:rPr>
          <w:rFonts w:ascii="Garamond" w:hAnsi="Garamond" w:cs="Arial"/>
        </w:rPr>
        <w:t xml:space="preserve"> doručeného do sídla objednatele nebo elektronicky na adresu </w:t>
      </w:r>
      <w:hyperlink r:id="rId10" w:history="1">
        <w:r w:rsidR="008639F4" w:rsidRPr="000C58EB">
          <w:rPr>
            <w:rStyle w:val="Hypertextovodkaz"/>
            <w:rFonts w:ascii="Garamond" w:hAnsi="Garamond" w:cs="Arial"/>
          </w:rPr>
          <w:t>dfaktury@nemzn.cz</w:t>
        </w:r>
      </w:hyperlink>
      <w:r w:rsidR="008639F4">
        <w:rPr>
          <w:rFonts w:ascii="Garamond" w:hAnsi="Garamond" w:cs="Arial"/>
        </w:rPr>
        <w:t xml:space="preserve"> </w:t>
      </w:r>
      <w:r w:rsidR="005D5A2D" w:rsidRPr="009E63C2">
        <w:rPr>
          <w:rFonts w:ascii="Garamond" w:hAnsi="Garamond" w:cs="Arial"/>
        </w:rPr>
        <w:t>.</w:t>
      </w:r>
    </w:p>
    <w:p w14:paraId="0365C125" w14:textId="2FE48F3E" w:rsidR="009E63C2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(2) Na faktuře/daňovém dokladu musí být mimo jiné vždy uvedeno toto číslo veřejné zakázky, ke které se faktura/daňový doklad vztahuje: </w:t>
      </w:r>
      <w:r w:rsidR="000B3793" w:rsidRPr="000B3793">
        <w:rPr>
          <w:rFonts w:ascii="Garamond" w:hAnsi="Garamond" w:cs="Arial"/>
          <w:b/>
          <w:bCs/>
        </w:rPr>
        <w:t>2400002867</w:t>
      </w:r>
      <w:r w:rsidRPr="000B3793">
        <w:rPr>
          <w:rFonts w:ascii="Garamond" w:hAnsi="Garamond" w:cs="Arial"/>
          <w:b/>
          <w:bCs/>
        </w:rPr>
        <w:t>.</w:t>
      </w:r>
    </w:p>
    <w:p w14:paraId="2B6BF501" w14:textId="64407A47" w:rsidR="000B053F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(3) Nebude-li mít faktura/daňový doklad všechny náležitosti daňového dokladu dle obecně závazných právních předpisů nebo této smlouvy, je oprávněn kupující tuto fakturu vrátit k opravě, přičemž doba splatnosti dle odst. 1 počíná běžet teprve dnem doručení opraveného daňového dokladu kupujícímu.</w:t>
      </w:r>
    </w:p>
    <w:bookmarkEnd w:id="4"/>
    <w:p w14:paraId="67A2DEBC" w14:textId="77777777" w:rsidR="0095300D" w:rsidRPr="009E63C2" w:rsidRDefault="000B053F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9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3608C46B" w14:textId="3473C84A" w:rsidR="0095300D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Pro případ prodlení s úhradou ceny díla ve lhůtě podle čl. 8 této smlouvy se objednatel zavazuje zaplatit zhotoviteli úrok z prodlení ve výši dle zákona. </w:t>
      </w:r>
    </w:p>
    <w:p w14:paraId="0964184A" w14:textId="77777777" w:rsidR="0095300D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10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25BF6F7A" w14:textId="6F629825" w:rsidR="005D5A2D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Je-li k plnění předmětu dle čl. 1 této smlouvy potřebné </w:t>
      </w:r>
      <w:r w:rsidRPr="009E63C2">
        <w:rPr>
          <w:rFonts w:ascii="Garamond" w:hAnsi="Garamond" w:cs="Arial"/>
          <w:bCs/>
        </w:rPr>
        <w:t xml:space="preserve">oprávnění k odborné způsobilosti, je zhotovitel povinen vždy po vydání nového osvědčení předložit objednateli prostou kopii nového osvědčení nejpozději při nejbližší vykonávané činnosti dle čl. 1 této smlouvy. </w:t>
      </w:r>
    </w:p>
    <w:p w14:paraId="5D1FBE08" w14:textId="77777777" w:rsidR="000B053F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11.</w:t>
      </w:r>
    </w:p>
    <w:p w14:paraId="2B7163B9" w14:textId="6D8055A5" w:rsidR="005D5A2D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Pro případ prodlení zhotovitele s provedením díla ve lhůtě podle čl.</w:t>
      </w:r>
      <w:r w:rsidR="007A7704" w:rsidRPr="009E63C2">
        <w:rPr>
          <w:rFonts w:ascii="Garamond" w:hAnsi="Garamond" w:cs="Arial"/>
        </w:rPr>
        <w:t xml:space="preserve"> </w:t>
      </w:r>
      <w:r w:rsidRPr="009E63C2">
        <w:rPr>
          <w:rFonts w:ascii="Garamond" w:hAnsi="Garamond" w:cs="Arial"/>
        </w:rPr>
        <w:t>3</w:t>
      </w:r>
      <w:r w:rsidR="000B053F" w:rsidRPr="009E63C2">
        <w:rPr>
          <w:rFonts w:ascii="Garamond" w:hAnsi="Garamond" w:cs="Arial"/>
        </w:rPr>
        <w:t xml:space="preserve"> a čl. 4</w:t>
      </w:r>
      <w:r w:rsidRPr="009E63C2">
        <w:rPr>
          <w:rFonts w:ascii="Garamond" w:hAnsi="Garamond" w:cs="Arial"/>
        </w:rPr>
        <w:t xml:space="preserve"> této smlouvy se zhotovitel zavazuje zaplatit objednateli smluvní pokutu ve výši 0,1 % z ceny neprovedené části díla za každý započatý den tohoto prodlení.</w:t>
      </w:r>
    </w:p>
    <w:p w14:paraId="380B76A4" w14:textId="77777777" w:rsidR="000B053F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12.</w:t>
      </w:r>
    </w:p>
    <w:p w14:paraId="0585AA9E" w14:textId="02A42086" w:rsidR="00AC57B5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Zhotovitel odpovídá objednateli za to, že dílo podle čl. 1 této smlouvy bude odpovídat tuzemským právním předpisům, technickým, hygienickým a jiným normám, a to po celou dobu, po kterou to bude mít pro objednatele ekonomický či jiný význam.</w:t>
      </w:r>
      <w:r w:rsidR="003461EA" w:rsidRPr="009E63C2">
        <w:rPr>
          <w:rFonts w:ascii="Garamond" w:hAnsi="Garamond" w:cs="Arial"/>
        </w:rPr>
        <w:t xml:space="preserve"> V tomto smyslu se zhotovitel zavazuje bezplatně odstraňovat vady, které se na díle vyskytnou v uvedené záruční době.  </w:t>
      </w:r>
      <w:r w:rsidRPr="009E63C2">
        <w:rPr>
          <w:rFonts w:ascii="Garamond" w:hAnsi="Garamond" w:cs="Arial"/>
        </w:rPr>
        <w:t xml:space="preserve"> </w:t>
      </w:r>
    </w:p>
    <w:p w14:paraId="73EF2951" w14:textId="77777777" w:rsidR="00AC57B5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13</w:t>
      </w:r>
      <w:r w:rsidR="00AC57B5" w:rsidRPr="009E63C2">
        <w:rPr>
          <w:rFonts w:ascii="Garamond" w:hAnsi="Garamond" w:cs="Arial"/>
          <w:b/>
          <w:bCs/>
        </w:rPr>
        <w:t>.</w:t>
      </w:r>
    </w:p>
    <w:p w14:paraId="475ADB6A" w14:textId="501CF9B3" w:rsidR="00AC57B5" w:rsidRDefault="00AC57B5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Zhotovitel se zavazuje poskytnout objednateli záruku za jakost za </w:t>
      </w:r>
      <w:r w:rsidR="009E63C2" w:rsidRPr="009E63C2">
        <w:rPr>
          <w:rFonts w:ascii="Garamond" w:hAnsi="Garamond" w:cs="Arial"/>
        </w:rPr>
        <w:t>provádění revizí</w:t>
      </w:r>
      <w:r w:rsidRPr="009E63C2">
        <w:rPr>
          <w:rFonts w:ascii="Garamond" w:hAnsi="Garamond" w:cs="Arial"/>
        </w:rPr>
        <w:t xml:space="preserve"> </w:t>
      </w:r>
      <w:r w:rsidR="009E63C2" w:rsidRPr="009E63C2">
        <w:rPr>
          <w:rFonts w:ascii="Garamond" w:hAnsi="Garamond" w:cs="Arial"/>
        </w:rPr>
        <w:t xml:space="preserve">požárních ucpávek </w:t>
      </w:r>
      <w:r w:rsidRPr="009E63C2">
        <w:rPr>
          <w:rFonts w:ascii="Garamond" w:hAnsi="Garamond" w:cs="Arial"/>
        </w:rPr>
        <w:t>dle čl. 1 této smlouvy p</w:t>
      </w:r>
      <w:r w:rsidR="000B053F" w:rsidRPr="009E63C2">
        <w:rPr>
          <w:rFonts w:ascii="Garamond" w:hAnsi="Garamond" w:cs="Arial"/>
        </w:rPr>
        <w:t>o celou dobu, po kterou to bude</w:t>
      </w:r>
      <w:r w:rsidRPr="009E63C2">
        <w:rPr>
          <w:rFonts w:ascii="Garamond" w:hAnsi="Garamond" w:cs="Arial"/>
        </w:rPr>
        <w:t xml:space="preserve"> mít pro objednatele ještě nějaký ekonomický či jiný význam, a za dílo</w:t>
      </w:r>
      <w:r w:rsidR="009E63C2" w:rsidRPr="009E63C2">
        <w:rPr>
          <w:rFonts w:ascii="Garamond" w:hAnsi="Garamond" w:cs="Arial"/>
        </w:rPr>
        <w:t xml:space="preserve"> spočívající v provádění jejich oprav</w:t>
      </w:r>
      <w:r w:rsidRPr="009E63C2">
        <w:rPr>
          <w:rFonts w:ascii="Garamond" w:hAnsi="Garamond" w:cs="Arial"/>
        </w:rPr>
        <w:t xml:space="preserve"> podle čl. 1</w:t>
      </w:r>
      <w:r w:rsidR="000B053F" w:rsidRPr="009E63C2">
        <w:rPr>
          <w:rFonts w:ascii="Garamond" w:hAnsi="Garamond" w:cs="Arial"/>
        </w:rPr>
        <w:t xml:space="preserve"> této smlouvy</w:t>
      </w:r>
      <w:r w:rsidRPr="009E63C2">
        <w:rPr>
          <w:rFonts w:ascii="Garamond" w:hAnsi="Garamond" w:cs="Arial"/>
        </w:rPr>
        <w:t xml:space="preserve"> po dobu minimálně </w:t>
      </w:r>
      <w:r w:rsidR="009E63C2" w:rsidRPr="009E63C2">
        <w:rPr>
          <w:rFonts w:ascii="Garamond" w:hAnsi="Garamond" w:cs="Arial"/>
        </w:rPr>
        <w:t>12</w:t>
      </w:r>
      <w:r w:rsidRPr="009E63C2">
        <w:rPr>
          <w:rFonts w:ascii="Garamond" w:hAnsi="Garamond" w:cs="Arial"/>
        </w:rPr>
        <w:t xml:space="preserve"> měsíců ode dne splnění závazku k jeho provedení. V tomto smyslu se zhotovitel zavazuje bezplatně odstraňovat vady, které se na díle vyskytnou v uvedené záruční době.  </w:t>
      </w:r>
    </w:p>
    <w:p w14:paraId="5C37CC6D" w14:textId="77777777" w:rsidR="00E934CB" w:rsidRDefault="00E934CB" w:rsidP="009E63C2">
      <w:pPr>
        <w:spacing w:after="120"/>
        <w:jc w:val="both"/>
        <w:rPr>
          <w:rFonts w:ascii="Garamond" w:hAnsi="Garamond" w:cs="Arial"/>
        </w:rPr>
      </w:pPr>
    </w:p>
    <w:p w14:paraId="174237AE" w14:textId="77777777" w:rsidR="00E934CB" w:rsidRDefault="00E934CB" w:rsidP="009E63C2">
      <w:pPr>
        <w:spacing w:after="120"/>
        <w:jc w:val="both"/>
        <w:rPr>
          <w:rFonts w:ascii="Garamond" w:hAnsi="Garamond" w:cs="Arial"/>
        </w:rPr>
      </w:pPr>
    </w:p>
    <w:p w14:paraId="6BA0476C" w14:textId="77777777" w:rsidR="00E934CB" w:rsidRPr="009E63C2" w:rsidRDefault="00E934CB" w:rsidP="009E63C2">
      <w:pPr>
        <w:spacing w:after="120"/>
        <w:jc w:val="both"/>
        <w:rPr>
          <w:rFonts w:ascii="Garamond" w:hAnsi="Garamond" w:cs="Arial"/>
        </w:rPr>
      </w:pPr>
    </w:p>
    <w:p w14:paraId="03A0414F" w14:textId="77777777" w:rsidR="005D5A2D" w:rsidRPr="009E63C2" w:rsidRDefault="000B053F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14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2F95412B" w14:textId="08340E80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Zhotovitel se zavazuje rozhodovat o písemných reklamacích objednatele písemně ve lhůtě do 10 dnů od jejich doručení, a ve stejné lhůtě provést odstranění vad z oprávněných reklamací, nebude-li mezi oběma stranami v jednotlivém případě dohodnuto jinak.</w:t>
      </w:r>
    </w:p>
    <w:p w14:paraId="0BF1E5EB" w14:textId="77777777" w:rsidR="005D5A2D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15.</w:t>
      </w:r>
    </w:p>
    <w:p w14:paraId="40A24F03" w14:textId="3042A801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Pro případ sporu o oprávněnost reklamace se objednateli vyhrazuje právo nechat vyhotovit k prověření jakosti díla soudně znalecký posudek, jehož výroku se obě strany zavazují podřizovat s tím, že náklady na vyhotovení tohoto posudku se zavazuje nést ten účastník sporu, kterému tento posudek nedal za</w:t>
      </w:r>
      <w:r w:rsidR="00AC57B5" w:rsidRPr="009E63C2">
        <w:rPr>
          <w:rFonts w:ascii="Garamond" w:hAnsi="Garamond" w:cs="Arial"/>
        </w:rPr>
        <w:t xml:space="preserve"> </w:t>
      </w:r>
      <w:r w:rsidRPr="009E63C2">
        <w:rPr>
          <w:rFonts w:ascii="Garamond" w:hAnsi="Garamond" w:cs="Arial"/>
        </w:rPr>
        <w:t>pravdu.</w:t>
      </w:r>
    </w:p>
    <w:p w14:paraId="2DBDF67D" w14:textId="0EEE6274" w:rsidR="000B053F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16.</w:t>
      </w:r>
    </w:p>
    <w:p w14:paraId="246FB1C7" w14:textId="6FD7436D" w:rsidR="005D5A2D" w:rsidRPr="009E63C2" w:rsidRDefault="000B053F" w:rsidP="009E63C2">
      <w:pPr>
        <w:spacing w:after="120"/>
        <w:jc w:val="both"/>
        <w:rPr>
          <w:rFonts w:ascii="Garamond" w:hAnsi="Garamond" w:cs="Arial"/>
        </w:rPr>
      </w:pPr>
      <w:bookmarkStart w:id="5" w:name="_Hlk175140666"/>
      <w:r w:rsidRPr="009E63C2">
        <w:rPr>
          <w:rFonts w:ascii="Garamond" w:hAnsi="Garamond" w:cs="Arial"/>
        </w:rPr>
        <w:t>Nepřikročí-li zhotovitel k odstranění vady ve lhůtě podle čl. 14 této smlouvy nebo v něm z důvodů na své straně nepokračuje, a to ani po písemné výzvě objednatele, je objednatel oprávněn nechat provést toto odstranění třetí osobou na náklad zhotovitele.</w:t>
      </w:r>
    </w:p>
    <w:bookmarkEnd w:id="5"/>
    <w:p w14:paraId="6C03E161" w14:textId="77777777" w:rsidR="000B053F" w:rsidRPr="009E63C2" w:rsidRDefault="000B053F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17.</w:t>
      </w:r>
    </w:p>
    <w:p w14:paraId="666D38EE" w14:textId="53F4C285" w:rsidR="000B053F" w:rsidRPr="009E63C2" w:rsidRDefault="005D5A2D" w:rsidP="009E63C2">
      <w:pPr>
        <w:pStyle w:val="Odstavecseseznamem"/>
        <w:spacing w:after="120"/>
        <w:ind w:left="0"/>
        <w:contextualSpacing w:val="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Objednatel je oprávněn odstoupit od této smlouvy o dílo, bude-li zhotovitel v prodlení se splněním svého závazku podle čl. 1 této smlouvy ve lhůtě podle čl. 3</w:t>
      </w:r>
      <w:r w:rsidR="000B053F" w:rsidRPr="009E63C2">
        <w:rPr>
          <w:rFonts w:ascii="Garamond" w:hAnsi="Garamond" w:cs="Arial"/>
        </w:rPr>
        <w:t xml:space="preserve"> a čl. 4 této smlouvy o víc</w:t>
      </w:r>
      <w:r w:rsidRPr="009E63C2">
        <w:rPr>
          <w:rFonts w:ascii="Garamond" w:hAnsi="Garamond" w:cs="Arial"/>
        </w:rPr>
        <w:t xml:space="preserve"> než jeden měsíc. </w:t>
      </w:r>
    </w:p>
    <w:p w14:paraId="072DFB40" w14:textId="77777777" w:rsidR="005D5A2D" w:rsidRPr="009E63C2" w:rsidRDefault="000B053F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18.</w:t>
      </w:r>
    </w:p>
    <w:p w14:paraId="4FC314D9" w14:textId="63627A25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Není-li touto smlouvou ujednáno jinak, řídí se vzájemný právní vztah mezi zhotovitelem a objednatelem § 2586 až 2622 občanského zákoníku. </w:t>
      </w:r>
      <w:r w:rsidR="009E63C2" w:rsidRPr="009E63C2">
        <w:rPr>
          <w:rFonts w:ascii="Garamond" w:hAnsi="Garamond" w:cs="Arial"/>
        </w:rPr>
        <w:t>Smluvní strany v souladu s § 558 odst. 2 občanského zákoníku výslovně vylučují použití obchodních zvyklostí ve svém právním styku v souvislosti s touto smlouvou.</w:t>
      </w:r>
    </w:p>
    <w:p w14:paraId="0A0397F6" w14:textId="77777777" w:rsidR="005D5A2D" w:rsidRPr="009E63C2" w:rsidRDefault="000B053F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19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2B78FBF7" w14:textId="6752826D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Tuto smlo</w:t>
      </w:r>
      <w:r w:rsidR="009E2EC2" w:rsidRPr="009E63C2">
        <w:rPr>
          <w:rFonts w:ascii="Garamond" w:hAnsi="Garamond" w:cs="Arial"/>
        </w:rPr>
        <w:t>uvu lze změnit nebo zrušit</w:t>
      </w:r>
      <w:r w:rsidRPr="009E63C2">
        <w:rPr>
          <w:rFonts w:ascii="Garamond" w:hAnsi="Garamond" w:cs="Arial"/>
        </w:rPr>
        <w:t xml:space="preserve"> jinou písemnou dohod</w:t>
      </w:r>
      <w:r w:rsidR="009E2EC2" w:rsidRPr="009E63C2">
        <w:rPr>
          <w:rFonts w:ascii="Garamond" w:hAnsi="Garamond" w:cs="Arial"/>
        </w:rPr>
        <w:t>o</w:t>
      </w:r>
      <w:r w:rsidRPr="009E63C2">
        <w:rPr>
          <w:rFonts w:ascii="Garamond" w:hAnsi="Garamond" w:cs="Arial"/>
        </w:rPr>
        <w:t>u obou smluvních stran. Tuto smlouvu lze také vypovědět písemnou výpovědí s </w:t>
      </w:r>
      <w:r w:rsidR="009E63C2" w:rsidRPr="009E63C2">
        <w:rPr>
          <w:rFonts w:ascii="Garamond" w:hAnsi="Garamond" w:cs="Arial"/>
        </w:rPr>
        <w:t>šestiměsíční</w:t>
      </w:r>
      <w:r w:rsidRPr="009E63C2">
        <w:rPr>
          <w:rFonts w:ascii="Garamond" w:hAnsi="Garamond" w:cs="Arial"/>
        </w:rPr>
        <w:t xml:space="preserve"> výpovědní lhůtou, která počne běžet prvním dnem měsíce následujícího po doručení výpovědi druhé smluvní straně.</w:t>
      </w:r>
    </w:p>
    <w:p w14:paraId="5B67035B" w14:textId="77777777" w:rsidR="005D5A2D" w:rsidRPr="009E63C2" w:rsidRDefault="000B053F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20</w:t>
      </w:r>
      <w:r w:rsidR="005D5A2D" w:rsidRPr="009E63C2">
        <w:rPr>
          <w:rFonts w:ascii="Garamond" w:hAnsi="Garamond" w:cs="Arial"/>
          <w:b/>
          <w:bCs/>
        </w:rPr>
        <w:t>.</w:t>
      </w:r>
    </w:p>
    <w:p w14:paraId="19F895A0" w14:textId="768FAFA1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Tato smlouva se uzavírá na základě návrhu na její uzavření ze strany objednatele. Předpokladem uzavření této smlouvy je její písemná forma a dohoda o celém jejím obsahu</w:t>
      </w:r>
      <w:r w:rsidR="009E63C2">
        <w:rPr>
          <w:rFonts w:ascii="Garamond" w:hAnsi="Garamond" w:cs="Arial"/>
        </w:rPr>
        <w:t>,</w:t>
      </w:r>
      <w:r w:rsidRPr="009E63C2">
        <w:rPr>
          <w:rFonts w:ascii="Garamond" w:hAnsi="Garamond" w:cs="Arial"/>
        </w:rPr>
        <w:t xml:space="preserve"> jak je obsažen v jejích článcích 1 až </w:t>
      </w:r>
      <w:r w:rsidR="000B053F" w:rsidRPr="009E63C2">
        <w:rPr>
          <w:rFonts w:ascii="Garamond" w:hAnsi="Garamond" w:cs="Arial"/>
        </w:rPr>
        <w:t>24</w:t>
      </w:r>
      <w:r w:rsidRPr="009E63C2">
        <w:rPr>
          <w:rFonts w:ascii="Garamond" w:hAnsi="Garamond" w:cs="Arial"/>
        </w:rPr>
        <w:t xml:space="preserve">. Objednatel přitom předem vylučuje přijetí tohoto návrhu s dodatkem nebo odchylkou ve smyslu § 1740 odst. 3 občanského zákoníku. </w:t>
      </w:r>
    </w:p>
    <w:p w14:paraId="7E1EFDF1" w14:textId="77777777" w:rsidR="000B053F" w:rsidRPr="009E63C2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21.</w:t>
      </w:r>
    </w:p>
    <w:p w14:paraId="3EDA96A2" w14:textId="77777777" w:rsid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Tato smlouva bude uveřejněna prostřednictvím registru smluv postupem dle zákona č. 340/2015 Sb., o zvláštních podmínkách účinnosti některých smluv, uveřejňováni těchto smluv a o registru smluv (zákon o registru smluv), v platném znění. Smluvní strany se dohodly, že uveřejněni v registru smluv (ISRS) včetně uvedení metadat provede objednatel.</w:t>
      </w:r>
    </w:p>
    <w:p w14:paraId="14BB717B" w14:textId="77777777" w:rsidR="00E934CB" w:rsidRDefault="00E934CB" w:rsidP="009E63C2">
      <w:pPr>
        <w:spacing w:after="120"/>
        <w:jc w:val="both"/>
        <w:rPr>
          <w:rFonts w:ascii="Garamond" w:hAnsi="Garamond" w:cs="Arial"/>
        </w:rPr>
      </w:pPr>
    </w:p>
    <w:p w14:paraId="0BFE9578" w14:textId="77777777" w:rsidR="00E934CB" w:rsidRDefault="00E934CB" w:rsidP="009E63C2">
      <w:pPr>
        <w:spacing w:after="120"/>
        <w:jc w:val="both"/>
        <w:rPr>
          <w:rFonts w:ascii="Garamond" w:hAnsi="Garamond" w:cs="Arial"/>
        </w:rPr>
      </w:pPr>
    </w:p>
    <w:p w14:paraId="0C5B1C7E" w14:textId="77777777" w:rsidR="00E934CB" w:rsidRPr="009E63C2" w:rsidRDefault="00E934CB" w:rsidP="009E63C2">
      <w:pPr>
        <w:spacing w:after="120"/>
        <w:jc w:val="both"/>
        <w:rPr>
          <w:rFonts w:ascii="Garamond" w:hAnsi="Garamond" w:cs="Arial"/>
        </w:rPr>
      </w:pPr>
    </w:p>
    <w:p w14:paraId="62D19998" w14:textId="52689C78" w:rsidR="009E63C2" w:rsidRPr="009E63C2" w:rsidRDefault="009E63C2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22.</w:t>
      </w:r>
    </w:p>
    <w:p w14:paraId="1DFE46C5" w14:textId="77777777" w:rsidR="009E63C2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Zhotovitel uděluje objednateli svůj výslovný souhlas se zveřejněním podmínek této smlouvy v rozsahu a za podmínek vyplývajících z příslušných právních předpisů (zejména zákona č. 106/1999 Sb., o svobodném přístupu k informacím, v platném znění).</w:t>
      </w:r>
    </w:p>
    <w:p w14:paraId="3EEDB248" w14:textId="6635A4A0" w:rsidR="009E63C2" w:rsidRPr="009E63C2" w:rsidRDefault="009E63C2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23.</w:t>
      </w:r>
    </w:p>
    <w:p w14:paraId="3FDD4F45" w14:textId="4FF3CA73" w:rsidR="009E63C2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Tato smlouva nabývá platnosti dnem jejího uzavření a účinnosti dem jejího zveřejnění postupem dle čl. </w:t>
      </w:r>
      <w:r>
        <w:rPr>
          <w:rFonts w:ascii="Garamond" w:hAnsi="Garamond" w:cs="Arial"/>
        </w:rPr>
        <w:t>21</w:t>
      </w:r>
      <w:r w:rsidRPr="009E63C2">
        <w:rPr>
          <w:rFonts w:ascii="Garamond" w:hAnsi="Garamond" w:cs="Arial"/>
        </w:rPr>
        <w:t xml:space="preserve"> této smlouvy</w:t>
      </w:r>
      <w:r>
        <w:rPr>
          <w:rFonts w:ascii="Garamond" w:hAnsi="Garamond" w:cs="Arial"/>
        </w:rPr>
        <w:t xml:space="preserve"> nebo dne </w:t>
      </w:r>
      <w:r w:rsidR="0003365B">
        <w:rPr>
          <w:rFonts w:ascii="Garamond" w:hAnsi="Garamond" w:cs="Arial"/>
        </w:rPr>
        <w:t>1. listopadu</w:t>
      </w:r>
      <w:r>
        <w:rPr>
          <w:rFonts w:ascii="Garamond" w:hAnsi="Garamond" w:cs="Arial"/>
        </w:rPr>
        <w:t xml:space="preserve"> podle toho, co nastane poději</w:t>
      </w:r>
      <w:r w:rsidR="0003365B">
        <w:rPr>
          <w:rFonts w:ascii="Garamond" w:hAnsi="Garamond" w:cs="Arial"/>
        </w:rPr>
        <w:t>, a uzavírá se na dobu neurčitou.</w:t>
      </w:r>
    </w:p>
    <w:p w14:paraId="2836DF1D" w14:textId="7A8A3ABE" w:rsidR="009E63C2" w:rsidRPr="009E63C2" w:rsidRDefault="009E63C2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24.</w:t>
      </w:r>
    </w:p>
    <w:p w14:paraId="65D855BB" w14:textId="3BCDD51E" w:rsidR="009E63C2" w:rsidRDefault="009E63C2" w:rsidP="009E63C2">
      <w:pPr>
        <w:spacing w:after="120"/>
        <w:jc w:val="both"/>
        <w:rPr>
          <w:rFonts w:ascii="Garamond" w:hAnsi="Garamond"/>
        </w:rPr>
      </w:pPr>
      <w:r w:rsidRPr="009E63C2">
        <w:rPr>
          <w:rFonts w:ascii="Garamond" w:hAnsi="Garamond" w:cs="Arial"/>
        </w:rPr>
        <w:t>Dáno ve dvou originálních písemných vyhotoveních, z nichž každá ze smluvních stran obdrží po jednom</w:t>
      </w:r>
      <w:r w:rsidR="00581976">
        <w:rPr>
          <w:rFonts w:ascii="Garamond" w:hAnsi="Garamond" w:cs="Arial"/>
        </w:rPr>
        <w:t xml:space="preserve"> výtisku</w:t>
      </w:r>
      <w:r w:rsidRPr="009E63C2">
        <w:rPr>
          <w:rFonts w:ascii="Garamond" w:hAnsi="Garamond" w:cs="Arial"/>
        </w:rPr>
        <w:t>.</w:t>
      </w:r>
      <w:r w:rsidR="00581976">
        <w:rPr>
          <w:rFonts w:ascii="Garamond" w:hAnsi="Garamond" w:cs="Arial"/>
        </w:rPr>
        <w:t xml:space="preserve"> Smlouvu lze uzavřít i v elektronické podobě.</w:t>
      </w:r>
    </w:p>
    <w:p w14:paraId="26BE4F4E" w14:textId="77777777" w:rsidR="009E63C2" w:rsidRDefault="009E63C2" w:rsidP="009E63C2">
      <w:pPr>
        <w:spacing w:after="120"/>
        <w:jc w:val="both"/>
        <w:rPr>
          <w:rFonts w:ascii="Garamond" w:hAnsi="Garamond"/>
        </w:rPr>
      </w:pPr>
    </w:p>
    <w:p w14:paraId="5867CA8E" w14:textId="1522726C" w:rsidR="005D5A2D" w:rsidRDefault="005D5A2D" w:rsidP="009E63C2">
      <w:pPr>
        <w:tabs>
          <w:tab w:val="left" w:pos="993"/>
        </w:tabs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Příloha č. 1</w:t>
      </w:r>
      <w:r w:rsidRPr="009E63C2">
        <w:rPr>
          <w:rFonts w:ascii="Garamond" w:hAnsi="Garamond" w:cs="Arial"/>
        </w:rPr>
        <w:tab/>
      </w:r>
      <w:r w:rsidR="000B053F" w:rsidRPr="00687EF0">
        <w:rPr>
          <w:rFonts w:ascii="Garamond" w:hAnsi="Garamond" w:cs="Arial"/>
        </w:rPr>
        <w:t>Ceník</w:t>
      </w:r>
      <w:r w:rsidR="00BA3D0C" w:rsidRPr="00687EF0">
        <w:rPr>
          <w:rFonts w:ascii="Garamond" w:hAnsi="Garamond" w:cs="Arial"/>
        </w:rPr>
        <w:t xml:space="preserve"> + specifikace</w:t>
      </w:r>
      <w:r w:rsidR="00687EF0">
        <w:rPr>
          <w:rFonts w:ascii="Garamond" w:hAnsi="Garamond" w:cs="Arial"/>
        </w:rPr>
        <w:t xml:space="preserve"> PPU</w:t>
      </w:r>
    </w:p>
    <w:p w14:paraId="144F823C" w14:textId="0647A71F" w:rsidR="009E63C2" w:rsidRDefault="009E63C2" w:rsidP="009E63C2">
      <w:pPr>
        <w:tabs>
          <w:tab w:val="left" w:pos="993"/>
        </w:tabs>
        <w:spacing w:after="120"/>
        <w:jc w:val="both"/>
        <w:rPr>
          <w:rFonts w:ascii="Garamond" w:hAnsi="Garamond" w:cs="Arial"/>
        </w:rPr>
      </w:pPr>
      <w:bookmarkStart w:id="6" w:name="_Hlk175142053"/>
      <w:r w:rsidRPr="009E63C2">
        <w:rPr>
          <w:rFonts w:ascii="Garamond" w:hAnsi="Garamond" w:cs="Arial"/>
        </w:rPr>
        <w:t xml:space="preserve">Příloha č. </w:t>
      </w:r>
      <w:r>
        <w:rPr>
          <w:rFonts w:ascii="Garamond" w:hAnsi="Garamond" w:cs="Arial"/>
        </w:rPr>
        <w:t>2</w:t>
      </w:r>
      <w:r>
        <w:rPr>
          <w:rFonts w:ascii="Garamond" w:hAnsi="Garamond" w:cs="Arial"/>
        </w:rPr>
        <w:tab/>
      </w:r>
      <w:r w:rsidRPr="009E63C2">
        <w:rPr>
          <w:rFonts w:ascii="Garamond" w:hAnsi="Garamond" w:cs="Arial"/>
        </w:rPr>
        <w:t>Tabulka subdodavatelů</w:t>
      </w:r>
      <w:bookmarkEnd w:id="6"/>
    </w:p>
    <w:p w14:paraId="0BC10C85" w14:textId="77777777" w:rsidR="009E63C2" w:rsidRDefault="009E63C2" w:rsidP="009E63C2">
      <w:pPr>
        <w:tabs>
          <w:tab w:val="left" w:pos="993"/>
        </w:tabs>
        <w:spacing w:after="120"/>
        <w:jc w:val="both"/>
        <w:rPr>
          <w:rFonts w:ascii="Garamond" w:hAnsi="Garamond" w:cs="Arial"/>
        </w:rPr>
      </w:pPr>
    </w:p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9E63C2" w:rsidRPr="00DA2D25" w14:paraId="7AE91761" w14:textId="77777777" w:rsidTr="009025E8">
        <w:trPr>
          <w:trHeight w:val="923"/>
        </w:trPr>
        <w:tc>
          <w:tcPr>
            <w:tcW w:w="4673" w:type="dxa"/>
          </w:tcPr>
          <w:p w14:paraId="7B53222A" w14:textId="10BB941E" w:rsidR="009E63C2" w:rsidRPr="00DA2D25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b/>
              </w:rPr>
              <w:t xml:space="preserve">Za </w:t>
            </w:r>
            <w:r>
              <w:rPr>
                <w:rFonts w:ascii="Garamond" w:hAnsi="Garamond"/>
                <w:b/>
              </w:rPr>
              <w:t>o</w:t>
            </w:r>
            <w:r w:rsidRPr="00DA2D25">
              <w:rPr>
                <w:rFonts w:ascii="Garamond" w:hAnsi="Garamond"/>
                <w:b/>
              </w:rPr>
              <w:t>bjednatele:</w:t>
            </w:r>
          </w:p>
        </w:tc>
        <w:tc>
          <w:tcPr>
            <w:tcW w:w="4820" w:type="dxa"/>
          </w:tcPr>
          <w:p w14:paraId="3F528D7C" w14:textId="6FD5170D" w:rsidR="009E63C2" w:rsidRPr="00DA2D25" w:rsidRDefault="009E63C2" w:rsidP="009025E8">
            <w:pPr>
              <w:rPr>
                <w:rFonts w:ascii="Garamond" w:hAnsi="Garamond"/>
                <w:b/>
              </w:rPr>
            </w:pPr>
            <w:r w:rsidRPr="00DA2D25">
              <w:rPr>
                <w:rFonts w:ascii="Garamond" w:hAnsi="Garamond"/>
                <w:b/>
              </w:rPr>
              <w:t xml:space="preserve">Za </w:t>
            </w:r>
            <w:r>
              <w:rPr>
                <w:rFonts w:ascii="Garamond" w:hAnsi="Garamond"/>
                <w:b/>
              </w:rPr>
              <w:t>zhotovitele</w:t>
            </w:r>
            <w:r w:rsidRPr="00DA2D25">
              <w:rPr>
                <w:rFonts w:ascii="Garamond" w:hAnsi="Garamond"/>
                <w:b/>
              </w:rPr>
              <w:t>:</w:t>
            </w:r>
          </w:p>
          <w:p w14:paraId="5D0A9AFF" w14:textId="77777777" w:rsidR="009E63C2" w:rsidRPr="00DA2D25" w:rsidRDefault="009E63C2" w:rsidP="009025E8">
            <w:pPr>
              <w:rPr>
                <w:rFonts w:ascii="Garamond" w:hAnsi="Garamond"/>
              </w:rPr>
            </w:pPr>
          </w:p>
        </w:tc>
      </w:tr>
      <w:tr w:rsidR="009E63C2" w:rsidRPr="00DA2D25" w14:paraId="2165E06D" w14:textId="77777777" w:rsidTr="009025E8">
        <w:trPr>
          <w:trHeight w:val="2553"/>
        </w:trPr>
        <w:tc>
          <w:tcPr>
            <w:tcW w:w="4673" w:type="dxa"/>
          </w:tcPr>
          <w:p w14:paraId="5B32CFE9" w14:textId="77777777" w:rsidR="009E63C2" w:rsidRPr="00DA2D25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>Ve Znojmě</w:t>
            </w:r>
          </w:p>
        </w:tc>
        <w:tc>
          <w:tcPr>
            <w:tcW w:w="4820" w:type="dxa"/>
          </w:tcPr>
          <w:p w14:paraId="11A0A52E" w14:textId="77777777" w:rsidR="009E63C2" w:rsidRDefault="009E63C2" w:rsidP="00D76F02">
            <w:pPr>
              <w:rPr>
                <w:rFonts w:ascii="Garamond" w:hAnsi="Garamond"/>
                <w:i/>
              </w:rPr>
            </w:pPr>
            <w:r w:rsidRPr="00DA2D25">
              <w:rPr>
                <w:rFonts w:ascii="Garamond" w:hAnsi="Garamond"/>
              </w:rPr>
              <w:t xml:space="preserve">V </w:t>
            </w:r>
            <w:r w:rsidRPr="0003365B">
              <w:rPr>
                <w:rFonts w:ascii="Garamond" w:hAnsi="Garamond"/>
                <w:highlight w:val="yellow"/>
              </w:rPr>
              <w:t>…………</w:t>
            </w:r>
            <w:r w:rsidR="00D76F02">
              <w:rPr>
                <w:rFonts w:ascii="Garamond" w:hAnsi="Garamond"/>
                <w:highlight w:val="yellow"/>
              </w:rPr>
              <w:t>dne…</w:t>
            </w:r>
            <w:r w:rsidRPr="0003365B">
              <w:rPr>
                <w:rFonts w:ascii="Garamond" w:hAnsi="Garamond"/>
                <w:highlight w:val="yellow"/>
              </w:rPr>
              <w:t>…… (</w:t>
            </w:r>
            <w:r w:rsidRPr="0003365B">
              <w:rPr>
                <w:rFonts w:ascii="Garamond" w:hAnsi="Garamond"/>
                <w:i/>
                <w:highlight w:val="yellow"/>
              </w:rPr>
              <w:t>vyplní zhotovitel)</w:t>
            </w:r>
          </w:p>
          <w:p w14:paraId="64059B82" w14:textId="77777777" w:rsidR="00EB36A1" w:rsidRDefault="00EB36A1" w:rsidP="00D76F02">
            <w:pPr>
              <w:rPr>
                <w:rFonts w:ascii="Garamond" w:hAnsi="Garamond"/>
                <w:i/>
              </w:rPr>
            </w:pPr>
          </w:p>
          <w:p w14:paraId="13D76B20" w14:textId="77777777" w:rsidR="00EB36A1" w:rsidRDefault="00EB36A1" w:rsidP="00D76F02">
            <w:pPr>
              <w:rPr>
                <w:rFonts w:ascii="Garamond" w:hAnsi="Garamond"/>
                <w:i/>
              </w:rPr>
            </w:pPr>
          </w:p>
          <w:p w14:paraId="06EA2D98" w14:textId="77777777" w:rsidR="00EB36A1" w:rsidRDefault="00EB36A1" w:rsidP="00D76F02">
            <w:pPr>
              <w:rPr>
                <w:rFonts w:ascii="Garamond" w:hAnsi="Garamond"/>
              </w:rPr>
            </w:pPr>
          </w:p>
          <w:p w14:paraId="1F2066A2" w14:textId="77777777" w:rsidR="0038075A" w:rsidRDefault="0038075A" w:rsidP="00D76F02">
            <w:pPr>
              <w:rPr>
                <w:rFonts w:ascii="Garamond" w:hAnsi="Garamond"/>
              </w:rPr>
            </w:pPr>
          </w:p>
          <w:p w14:paraId="6ABE4C0C" w14:textId="77777777" w:rsidR="0038075A" w:rsidRDefault="0038075A" w:rsidP="00D76F02">
            <w:pPr>
              <w:rPr>
                <w:rFonts w:ascii="Garamond" w:hAnsi="Garamond"/>
              </w:rPr>
            </w:pPr>
          </w:p>
          <w:p w14:paraId="20BB0BBB" w14:textId="77777777" w:rsidR="0038075A" w:rsidRDefault="0038075A" w:rsidP="00D76F02">
            <w:pPr>
              <w:rPr>
                <w:rFonts w:ascii="Garamond" w:hAnsi="Garamond"/>
              </w:rPr>
            </w:pPr>
          </w:p>
          <w:p w14:paraId="0757B7C8" w14:textId="77777777" w:rsidR="0038075A" w:rsidRDefault="0038075A" w:rsidP="00D76F02">
            <w:pPr>
              <w:rPr>
                <w:rFonts w:ascii="Garamond" w:hAnsi="Garamond"/>
              </w:rPr>
            </w:pPr>
          </w:p>
          <w:p w14:paraId="5C9E65D6" w14:textId="77777777" w:rsidR="0038075A" w:rsidRDefault="0038075A" w:rsidP="00D76F02">
            <w:pPr>
              <w:rPr>
                <w:rFonts w:ascii="Garamond" w:hAnsi="Garamond"/>
              </w:rPr>
            </w:pPr>
          </w:p>
          <w:p w14:paraId="28FFD4E8" w14:textId="77777777" w:rsidR="0038075A" w:rsidRDefault="0038075A" w:rsidP="00D76F02">
            <w:pPr>
              <w:rPr>
                <w:rFonts w:ascii="Garamond" w:hAnsi="Garamond"/>
              </w:rPr>
            </w:pPr>
          </w:p>
          <w:p w14:paraId="475EF83C" w14:textId="68352528" w:rsidR="0038075A" w:rsidRPr="00DA2D25" w:rsidRDefault="0038075A" w:rsidP="00D76F02">
            <w:pPr>
              <w:rPr>
                <w:rFonts w:ascii="Garamond" w:hAnsi="Garamond"/>
              </w:rPr>
            </w:pPr>
          </w:p>
        </w:tc>
      </w:tr>
      <w:tr w:rsidR="009E63C2" w:rsidRPr="00DA2D25" w14:paraId="2A37A8A0" w14:textId="77777777" w:rsidTr="009025E8">
        <w:trPr>
          <w:trHeight w:val="404"/>
        </w:trPr>
        <w:tc>
          <w:tcPr>
            <w:tcW w:w="4673" w:type="dxa"/>
            <w:vAlign w:val="bottom"/>
          </w:tcPr>
          <w:p w14:paraId="5C5F8C23" w14:textId="42DFE32F" w:rsidR="009E63C2" w:rsidRPr="00DA2D25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>MUDr. Miroslav Kavka,</w:t>
            </w:r>
            <w:r w:rsidR="00E934CB">
              <w:rPr>
                <w:rFonts w:ascii="Garamond" w:hAnsi="Garamond"/>
              </w:rPr>
              <w:t xml:space="preserve"> </w:t>
            </w:r>
            <w:r w:rsidRPr="00DA2D25">
              <w:rPr>
                <w:rFonts w:ascii="Garamond" w:hAnsi="Garamond"/>
              </w:rPr>
              <w:t>MBA</w:t>
            </w:r>
            <w:r w:rsidR="00E934CB">
              <w:rPr>
                <w:rFonts w:ascii="Garamond" w:hAnsi="Garamond"/>
              </w:rPr>
              <w:t xml:space="preserve">, FICS, </w:t>
            </w:r>
          </w:p>
        </w:tc>
        <w:tc>
          <w:tcPr>
            <w:tcW w:w="4820" w:type="dxa"/>
            <w:vAlign w:val="bottom"/>
          </w:tcPr>
          <w:p w14:paraId="5890130C" w14:textId="77777777" w:rsidR="009E63C2" w:rsidRPr="00DA2D25" w:rsidRDefault="009E63C2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……………………………………………..</w:t>
            </w:r>
          </w:p>
        </w:tc>
      </w:tr>
      <w:tr w:rsidR="009E63C2" w:rsidRPr="00DA2D25" w14:paraId="0BB67FD0" w14:textId="77777777" w:rsidTr="009025E8">
        <w:trPr>
          <w:trHeight w:val="269"/>
        </w:trPr>
        <w:tc>
          <w:tcPr>
            <w:tcW w:w="4673" w:type="dxa"/>
          </w:tcPr>
          <w:p w14:paraId="344CBFDE" w14:textId="1872B98E" w:rsidR="009E63C2" w:rsidRPr="00DA2D25" w:rsidRDefault="009E63C2" w:rsidP="00E934CB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 xml:space="preserve">ředitel </w:t>
            </w:r>
          </w:p>
        </w:tc>
        <w:tc>
          <w:tcPr>
            <w:tcW w:w="4820" w:type="dxa"/>
          </w:tcPr>
          <w:p w14:paraId="7F6974E5" w14:textId="77777777" w:rsidR="009E63C2" w:rsidRPr="00DA2D25" w:rsidRDefault="009E63C2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……………………………………………..</w:t>
            </w:r>
          </w:p>
        </w:tc>
      </w:tr>
      <w:tr w:rsidR="009E63C2" w:rsidRPr="00DA2D25" w14:paraId="10991998" w14:textId="77777777" w:rsidTr="009025E8">
        <w:trPr>
          <w:trHeight w:val="244"/>
        </w:trPr>
        <w:tc>
          <w:tcPr>
            <w:tcW w:w="4673" w:type="dxa"/>
          </w:tcPr>
          <w:p w14:paraId="73520389" w14:textId="04453217" w:rsidR="009E63C2" w:rsidRPr="00DA2D25" w:rsidRDefault="00E934CB" w:rsidP="00E934CB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 xml:space="preserve">Nemocnice Znojmo, </w:t>
            </w:r>
            <w:r>
              <w:rPr>
                <w:rFonts w:ascii="Garamond" w:hAnsi="Garamond"/>
              </w:rPr>
              <w:t>příspěvkové organizace</w:t>
            </w:r>
          </w:p>
        </w:tc>
        <w:tc>
          <w:tcPr>
            <w:tcW w:w="4820" w:type="dxa"/>
          </w:tcPr>
          <w:p w14:paraId="2C5E88B8" w14:textId="77777777" w:rsidR="009E63C2" w:rsidRPr="00DA2D25" w:rsidRDefault="009E63C2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</w:t>
            </w:r>
          </w:p>
          <w:p w14:paraId="41AFCEB0" w14:textId="7B9DA633" w:rsidR="009E63C2" w:rsidRPr="00DA2D25" w:rsidRDefault="009E63C2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highlight w:val="yellow"/>
              </w:rPr>
              <w:t xml:space="preserve">vyplní </w:t>
            </w:r>
            <w:r>
              <w:rPr>
                <w:rFonts w:ascii="Garamond" w:hAnsi="Garamond"/>
                <w:i/>
                <w:highlight w:val="yellow"/>
              </w:rPr>
              <w:t>zhotovitel</w:t>
            </w:r>
            <w:r w:rsidRPr="00DA2D25">
              <w:rPr>
                <w:rFonts w:ascii="Garamond" w:hAnsi="Garamond"/>
                <w:i/>
                <w:highlight w:val="yellow"/>
              </w:rPr>
              <w:t>)</w:t>
            </w:r>
          </w:p>
        </w:tc>
      </w:tr>
    </w:tbl>
    <w:p w14:paraId="5C77A606" w14:textId="77777777" w:rsidR="009E63C2" w:rsidRDefault="009E63C2" w:rsidP="009E63C2">
      <w:pPr>
        <w:spacing w:after="120"/>
        <w:rPr>
          <w:rFonts w:ascii="Garamond" w:hAnsi="Garamond"/>
          <w:sz w:val="28"/>
          <w:szCs w:val="28"/>
        </w:rPr>
      </w:pPr>
    </w:p>
    <w:p w14:paraId="75290ACB" w14:textId="3ECE3F49" w:rsidR="009E63C2" w:rsidRDefault="009E63C2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</w:p>
    <w:p w14:paraId="159D3B37" w14:textId="7A1F3EAC" w:rsidR="009E63C2" w:rsidRPr="009E63C2" w:rsidRDefault="009E63C2" w:rsidP="008961E9">
      <w:pPr>
        <w:tabs>
          <w:tab w:val="left" w:pos="993"/>
        </w:tabs>
        <w:spacing w:after="120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lastRenderedPageBreak/>
        <w:t>Příloha č. 1 Ceník + specifikace</w:t>
      </w:r>
      <w:r w:rsidR="00252AFD">
        <w:rPr>
          <w:rFonts w:ascii="Garamond" w:hAnsi="Garamond" w:cs="Arial"/>
          <w:b/>
          <w:bCs/>
        </w:rPr>
        <w:t xml:space="preserve"> PPU</w:t>
      </w:r>
    </w:p>
    <w:p w14:paraId="67FE33CD" w14:textId="77777777" w:rsidR="009E63C2" w:rsidRDefault="009E63C2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14:paraId="4BF5782C" w14:textId="56CC3F10" w:rsidR="009E63C2" w:rsidRPr="009E63C2" w:rsidRDefault="009E63C2" w:rsidP="008961E9">
      <w:pPr>
        <w:tabs>
          <w:tab w:val="left" w:pos="993"/>
        </w:tabs>
        <w:spacing w:after="120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lastRenderedPageBreak/>
        <w:t>Příloha č. 2 Tabulka subdodavatelů</w:t>
      </w:r>
    </w:p>
    <w:p w14:paraId="095EA50C" w14:textId="77777777" w:rsidR="009E63C2" w:rsidRDefault="009E63C2" w:rsidP="009E63C2">
      <w:pPr>
        <w:rPr>
          <w:rFonts w:ascii="Garamond" w:hAnsi="Garamond"/>
          <w:sz w:val="28"/>
          <w:szCs w:val="28"/>
        </w:rPr>
      </w:pPr>
    </w:p>
    <w:p w14:paraId="038AD8B7" w14:textId="77777777" w:rsidR="009E63C2" w:rsidRPr="009E63C2" w:rsidRDefault="009E63C2" w:rsidP="009E63C2">
      <w:pPr>
        <w:tabs>
          <w:tab w:val="left" w:pos="993"/>
        </w:tabs>
        <w:spacing w:after="120"/>
        <w:jc w:val="both"/>
        <w:rPr>
          <w:rFonts w:ascii="Garamond" w:hAnsi="Garamond" w:cs="Arial"/>
        </w:rPr>
      </w:pPr>
    </w:p>
    <w:sectPr w:rsidR="009E63C2" w:rsidRPr="009E63C2" w:rsidSect="009E63C2">
      <w:pgSz w:w="11906" w:h="16838"/>
      <w:pgMar w:top="156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43D5E" w14:textId="77777777" w:rsidR="00D4186E" w:rsidRDefault="00D4186E" w:rsidP="00FF1991">
      <w:r>
        <w:separator/>
      </w:r>
    </w:p>
  </w:endnote>
  <w:endnote w:type="continuationSeparator" w:id="0">
    <w:p w14:paraId="091EEFCF" w14:textId="77777777" w:rsidR="00D4186E" w:rsidRDefault="00D4186E" w:rsidP="00FF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94B19" w14:textId="77777777" w:rsidR="00D4186E" w:rsidRDefault="00D4186E" w:rsidP="00FF1991">
      <w:r>
        <w:separator/>
      </w:r>
    </w:p>
  </w:footnote>
  <w:footnote w:type="continuationSeparator" w:id="0">
    <w:p w14:paraId="303519B9" w14:textId="77777777" w:rsidR="00D4186E" w:rsidRDefault="00D4186E" w:rsidP="00FF1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274E3"/>
    <w:multiLevelType w:val="hybridMultilevel"/>
    <w:tmpl w:val="EC9244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55F12"/>
    <w:multiLevelType w:val="hybridMultilevel"/>
    <w:tmpl w:val="4F5C10F6"/>
    <w:lvl w:ilvl="0" w:tplc="5FE43E96">
      <w:start w:val="1"/>
      <w:numFmt w:val="bullet"/>
      <w:lvlText w:val="-"/>
      <w:lvlJc w:val="left"/>
      <w:pPr>
        <w:ind w:left="18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2" w15:restartNumberingAfterBreak="0">
    <w:nsid w:val="0C084B3B"/>
    <w:multiLevelType w:val="singleLevel"/>
    <w:tmpl w:val="5122F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</w:abstractNum>
  <w:abstractNum w:abstractNumId="3" w15:restartNumberingAfterBreak="0">
    <w:nsid w:val="2E6647DB"/>
    <w:multiLevelType w:val="hybridMultilevel"/>
    <w:tmpl w:val="FF5C2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43622B"/>
    <w:multiLevelType w:val="hybridMultilevel"/>
    <w:tmpl w:val="FF5C2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917B2"/>
    <w:multiLevelType w:val="hybridMultilevel"/>
    <w:tmpl w:val="64E082F0"/>
    <w:lvl w:ilvl="0" w:tplc="E8907EBC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050017">
      <w:start w:val="1"/>
      <w:numFmt w:val="lowerLetter"/>
      <w:lvlText w:val="%2)"/>
      <w:lvlJc w:val="left"/>
      <w:pPr>
        <w:ind w:left="19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F960CE"/>
    <w:multiLevelType w:val="hybridMultilevel"/>
    <w:tmpl w:val="B3FA1E72"/>
    <w:lvl w:ilvl="0" w:tplc="58D4425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b w:val="0"/>
      </w:rPr>
    </w:lvl>
    <w:lvl w:ilvl="1" w:tplc="29D085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37705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0560762">
    <w:abstractNumId w:val="2"/>
  </w:num>
  <w:num w:numId="3" w16cid:durableId="4752685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7843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9175254">
    <w:abstractNumId w:val="3"/>
  </w:num>
  <w:num w:numId="6" w16cid:durableId="150102087">
    <w:abstractNumId w:val="4"/>
  </w:num>
  <w:num w:numId="7" w16cid:durableId="125394056">
    <w:abstractNumId w:val="0"/>
  </w:num>
  <w:num w:numId="8" w16cid:durableId="374161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7C"/>
    <w:rsid w:val="00001DBC"/>
    <w:rsid w:val="000321BD"/>
    <w:rsid w:val="0003365B"/>
    <w:rsid w:val="000644AD"/>
    <w:rsid w:val="00066148"/>
    <w:rsid w:val="000A002F"/>
    <w:rsid w:val="000A2963"/>
    <w:rsid w:val="000B053F"/>
    <w:rsid w:val="000B3793"/>
    <w:rsid w:val="001378CD"/>
    <w:rsid w:val="0016122E"/>
    <w:rsid w:val="0019520C"/>
    <w:rsid w:val="001F7E5B"/>
    <w:rsid w:val="002042CE"/>
    <w:rsid w:val="00213062"/>
    <w:rsid w:val="00250697"/>
    <w:rsid w:val="00252AFD"/>
    <w:rsid w:val="00262777"/>
    <w:rsid w:val="00291DD0"/>
    <w:rsid w:val="002960A6"/>
    <w:rsid w:val="0030186A"/>
    <w:rsid w:val="00331FB7"/>
    <w:rsid w:val="003426F9"/>
    <w:rsid w:val="003461EA"/>
    <w:rsid w:val="0038075A"/>
    <w:rsid w:val="00392AAB"/>
    <w:rsid w:val="003C6CBA"/>
    <w:rsid w:val="00401132"/>
    <w:rsid w:val="004215F9"/>
    <w:rsid w:val="004445EA"/>
    <w:rsid w:val="00465CF5"/>
    <w:rsid w:val="004A7CE0"/>
    <w:rsid w:val="004E5CA3"/>
    <w:rsid w:val="004F66FB"/>
    <w:rsid w:val="00503673"/>
    <w:rsid w:val="00565430"/>
    <w:rsid w:val="005665C2"/>
    <w:rsid w:val="005773B9"/>
    <w:rsid w:val="00581976"/>
    <w:rsid w:val="005A2751"/>
    <w:rsid w:val="005C266A"/>
    <w:rsid w:val="005C56C7"/>
    <w:rsid w:val="005D5A2D"/>
    <w:rsid w:val="005E10DD"/>
    <w:rsid w:val="006634BE"/>
    <w:rsid w:val="00687A09"/>
    <w:rsid w:val="00687EF0"/>
    <w:rsid w:val="006D17D8"/>
    <w:rsid w:val="00702F29"/>
    <w:rsid w:val="00753BE7"/>
    <w:rsid w:val="00777A2A"/>
    <w:rsid w:val="00790C0D"/>
    <w:rsid w:val="007A06FC"/>
    <w:rsid w:val="007A57A9"/>
    <w:rsid w:val="007A7704"/>
    <w:rsid w:val="007D4155"/>
    <w:rsid w:val="007F5F8C"/>
    <w:rsid w:val="00833756"/>
    <w:rsid w:val="008639F4"/>
    <w:rsid w:val="00866BDD"/>
    <w:rsid w:val="00890F44"/>
    <w:rsid w:val="008961E9"/>
    <w:rsid w:val="008D1B33"/>
    <w:rsid w:val="008E49FC"/>
    <w:rsid w:val="008E7E59"/>
    <w:rsid w:val="008F6C11"/>
    <w:rsid w:val="00900809"/>
    <w:rsid w:val="00937F2B"/>
    <w:rsid w:val="00950B54"/>
    <w:rsid w:val="0095300D"/>
    <w:rsid w:val="0097152B"/>
    <w:rsid w:val="009852CB"/>
    <w:rsid w:val="00985D7B"/>
    <w:rsid w:val="009951FB"/>
    <w:rsid w:val="009A064E"/>
    <w:rsid w:val="009C72D1"/>
    <w:rsid w:val="009E2EC2"/>
    <w:rsid w:val="009E48DE"/>
    <w:rsid w:val="009E63C2"/>
    <w:rsid w:val="009F26A3"/>
    <w:rsid w:val="00A3382C"/>
    <w:rsid w:val="00A502B4"/>
    <w:rsid w:val="00A536BA"/>
    <w:rsid w:val="00A620D5"/>
    <w:rsid w:val="00AB0CBC"/>
    <w:rsid w:val="00AC57B5"/>
    <w:rsid w:val="00B42F5A"/>
    <w:rsid w:val="00B433CB"/>
    <w:rsid w:val="00B437F9"/>
    <w:rsid w:val="00B44792"/>
    <w:rsid w:val="00B87587"/>
    <w:rsid w:val="00BA3D0C"/>
    <w:rsid w:val="00BC21C1"/>
    <w:rsid w:val="00C01CD5"/>
    <w:rsid w:val="00C21A34"/>
    <w:rsid w:val="00C41A7C"/>
    <w:rsid w:val="00C44E51"/>
    <w:rsid w:val="00C9458F"/>
    <w:rsid w:val="00D4186E"/>
    <w:rsid w:val="00D600A5"/>
    <w:rsid w:val="00D76F02"/>
    <w:rsid w:val="00DA0CD4"/>
    <w:rsid w:val="00DD224D"/>
    <w:rsid w:val="00DE3258"/>
    <w:rsid w:val="00DE3318"/>
    <w:rsid w:val="00DE499E"/>
    <w:rsid w:val="00DF4C81"/>
    <w:rsid w:val="00E436AA"/>
    <w:rsid w:val="00E934CB"/>
    <w:rsid w:val="00E969CF"/>
    <w:rsid w:val="00EB36A1"/>
    <w:rsid w:val="00F42964"/>
    <w:rsid w:val="00F6133A"/>
    <w:rsid w:val="00F616A3"/>
    <w:rsid w:val="00F92CCA"/>
    <w:rsid w:val="00FC5C05"/>
    <w:rsid w:val="00FC697C"/>
    <w:rsid w:val="00FF1991"/>
    <w:rsid w:val="00F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3825C1"/>
  <w15:chartTrackingRefBased/>
  <w15:docId w15:val="{330BCF7A-C6DA-43D7-9F93-C06EE7E0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DE3318"/>
    <w:rPr>
      <w:rFonts w:ascii="Courier New" w:hAnsi="Courier New"/>
      <w:sz w:val="20"/>
      <w:szCs w:val="20"/>
    </w:rPr>
  </w:style>
  <w:style w:type="paragraph" w:styleId="Bezmezer">
    <w:name w:val="No Spacing"/>
    <w:uiPriority w:val="1"/>
    <w:qFormat/>
    <w:rsid w:val="00AB0CBC"/>
    <w:rPr>
      <w:rFonts w:ascii="Arial" w:eastAsia="Calibri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0321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321BD"/>
    <w:rPr>
      <w:rFonts w:ascii="Tahoma" w:hAnsi="Tahoma" w:cs="Tahoma"/>
      <w:sz w:val="16"/>
      <w:szCs w:val="16"/>
    </w:rPr>
  </w:style>
  <w:style w:type="character" w:styleId="Hypertextovodkaz">
    <w:name w:val="Hyperlink"/>
    <w:rsid w:val="009F26A3"/>
    <w:rPr>
      <w:color w:val="0000FF"/>
      <w:u w:val="single"/>
    </w:rPr>
  </w:style>
  <w:style w:type="paragraph" w:styleId="Odstavecseseznamem">
    <w:name w:val="List Paragraph"/>
    <w:basedOn w:val="Normln"/>
    <w:qFormat/>
    <w:rsid w:val="00B433CB"/>
    <w:pPr>
      <w:ind w:left="720"/>
      <w:contextualSpacing/>
    </w:pPr>
  </w:style>
  <w:style w:type="paragraph" w:styleId="Zhlav">
    <w:name w:val="header"/>
    <w:basedOn w:val="Normln"/>
    <w:link w:val="ZhlavChar"/>
    <w:rsid w:val="00FF199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1991"/>
    <w:rPr>
      <w:sz w:val="24"/>
      <w:szCs w:val="24"/>
    </w:rPr>
  </w:style>
  <w:style w:type="paragraph" w:styleId="Zpat">
    <w:name w:val="footer"/>
    <w:basedOn w:val="Normln"/>
    <w:link w:val="ZpatChar"/>
    <w:rsid w:val="00FF199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1991"/>
    <w:rPr>
      <w:sz w:val="24"/>
      <w:szCs w:val="24"/>
    </w:rPr>
  </w:style>
  <w:style w:type="table" w:customStyle="1" w:styleId="TableGrid">
    <w:name w:val="TableGrid"/>
    <w:rsid w:val="009E63C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E6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slav.vesely@nemz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faktury@nemzn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zscr.cz/soubor/odkazy-pozarni-prevence-predpisy-vyhlaska-246-2001-pdf.asp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230E6-E6D0-4049-B0E3-F2873FC4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7</Pages>
  <Words>1502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Advokátní kancelář</Company>
  <LinksUpToDate>false</LinksUpToDate>
  <CharactersWithSpaces>10345</CharactersWithSpaces>
  <SharedDoc>false</SharedDoc>
  <HLinks>
    <vt:vector size="12" baseType="variant">
      <vt:variant>
        <vt:i4>3538984</vt:i4>
      </vt:variant>
      <vt:variant>
        <vt:i4>3</vt:i4>
      </vt:variant>
      <vt:variant>
        <vt:i4>0</vt:i4>
      </vt:variant>
      <vt:variant>
        <vt:i4>5</vt:i4>
      </vt:variant>
      <vt:variant>
        <vt:lpwstr>http://www.hzscr.cz/soubor/odkazy-pozarni-prevence-predpisy-vyhlaska-246-2001-pdf.aspx</vt:lpwstr>
      </vt:variant>
      <vt:variant>
        <vt:lpwstr/>
      </vt:variant>
      <vt:variant>
        <vt:i4>65643</vt:i4>
      </vt:variant>
      <vt:variant>
        <vt:i4>0</vt:i4>
      </vt:variant>
      <vt:variant>
        <vt:i4>0</vt:i4>
      </vt:variant>
      <vt:variant>
        <vt:i4>5</vt:i4>
      </vt:variant>
      <vt:variant>
        <vt:lpwstr>mailto:cvandova.milena@zzsjmk.cz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JUDr. Petr Smejkal</dc:creator>
  <cp:keywords/>
  <dc:description/>
  <cp:lastModifiedBy>Jiřina Bílková</cp:lastModifiedBy>
  <cp:revision>15</cp:revision>
  <cp:lastPrinted>2024-08-21T08:27:00Z</cp:lastPrinted>
  <dcterms:created xsi:type="dcterms:W3CDTF">2024-08-07T14:52:00Z</dcterms:created>
  <dcterms:modified xsi:type="dcterms:W3CDTF">2024-08-22T06:40:00Z</dcterms:modified>
</cp:coreProperties>
</file>